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Bogotá, Febrero 27 de 2026.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EN RELACIÓN CON LOS REQUERIMIENTOS DE REPORTES DE INFORMACIÓN FINANCIERA BAJO FATCA Y ESTÁNDAR COMÚN DE REPORTES – CRS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SUPERSOLIDARIA INFORMA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Que frente a los requerimientos realizados por parte de la Dirección de Impuestos y Aduanas Nacionales – DIAN relacionados con la presentación del reporte de información financiera Estándar Común de Reportes – CRS, se debe precisar que mediante el Concepto 010520 de 2025 se define que las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cooperativas de ahorro y crédito y fondos de empleados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son consideradas como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Instituciones Financieras sujetas a reporte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bajo los estándares internacionales FATCA (EE.UU.) y CRS (OCDE), salvo que cumplan con criterios específicos para ser tratadas como entidades excluidas o de bajo riesgo según los estándares.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este sentido es importante que las entidades revisen detenidamente la normatividad vigente a fin de asegurar el cumplimiento de estas obligaciones y evaluar su situación particular, reiterando lo establecido en el concepto respecto de su aplicación para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cooperativas de ahorro y crédito y fondos de empleados.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todo lo anterior, invitamos a todas las entidades a revisar: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Resolución 60 de 2015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Verdana" w:cs="Verdana" w:eastAsia="Verdana" w:hAnsi="Verdana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https://normograma.dian.gov.co/dian/compilacion/docs/pdf/resolucion_dian_0060_2015.pdf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Resolución 000044 de 2021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Verdana" w:cs="Verdana" w:eastAsia="Verdana" w:hAnsi="Verdana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https://www.dian.gov.co/normatividad/Normatividad/Resoluci%C3%B3n%20000044%20de%2020-05-2021.pdf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Concepto 010520 de 2025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Verdana" w:cs="Verdana" w:eastAsia="Verdana" w:hAnsi="Verdana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u w:val="single"/>
            <w:rtl w:val="0"/>
          </w:rPr>
          <w:t xml:space="preserve">https://normograma.dian.gov.co/dian/compilacion/docs/oficio_dian_10520_2025.htm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20160" w:w="12240" w:orient="portrait"/>
      <w:pgMar w:bottom="1757" w:top="2065" w:left="1701" w:right="1701" w:header="708" w:footer="9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-4760</wp:posOffset>
              </wp:positionH>
              <wp:positionV relativeFrom="paragraph">
                <wp:posOffset>-423859</wp:posOffset>
              </wp:positionV>
              <wp:extent cx="6057900" cy="1258570"/>
              <wp:effectExtent b="0" l="0" r="0" t="0"/>
              <wp:wrapNone/>
              <wp:docPr id="174096940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31338" y="3165003"/>
                        <a:ext cx="6029325" cy="1229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________________________________________________________________________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Superintendencia de la Economía Solidaria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Avenida Calle 24 (Esperanza) N° 60-50 Piso 8 Centro Empresarial Gran Estación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PBX: (+57)(601)7 560 557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Línea Gratis: 018000-180-430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-4760</wp:posOffset>
              </wp:positionH>
              <wp:positionV relativeFrom="paragraph">
                <wp:posOffset>-423859</wp:posOffset>
              </wp:positionV>
              <wp:extent cx="6057900" cy="1258570"/>
              <wp:effectExtent b="0" l="0" r="0" t="0"/>
              <wp:wrapNone/>
              <wp:docPr id="174096940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258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bookmarkStart w:colFirst="0" w:colLast="0" w:name="_heading=h.my8rshc82ji4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-1108704</wp:posOffset>
          </wp:positionH>
          <wp:positionV relativeFrom="paragraph">
            <wp:posOffset>-417426</wp:posOffset>
          </wp:positionV>
          <wp:extent cx="7806054" cy="12798867"/>
          <wp:effectExtent b="0" l="0" r="0" t="0"/>
          <wp:wrapNone/>
          <wp:docPr id="17409694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6054" cy="127988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1526D5"/>
    <w:rPr>
      <w:color w:val="0563c1"/>
      <w:u w:val="single"/>
    </w:rPr>
  </w:style>
  <w:style w:type="paragraph" w:styleId="Prrafodelista">
    <w:name w:val="List Paragraph"/>
    <w:basedOn w:val="Normal"/>
    <w:uiPriority w:val="34"/>
    <w:qFormat w:val="1"/>
    <w:rsid w:val="00B80C09"/>
    <w:pPr>
      <w:ind w:left="720"/>
      <w:contextualSpacing w:val="1"/>
    </w:p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91598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E47B93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rmograma.dian.gov.co/dian/compilacion/docs/oficio_dian_10520_2025.htm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rmograma.dian.gov.co/dian/compilacion/docs/pdf/resolucion_dian_0060_2015.pdf" TargetMode="External"/><Relationship Id="rId8" Type="http://schemas.openxmlformats.org/officeDocument/2006/relationships/hyperlink" Target="https://www.dian.gov.co/normatividad/Normatividad/Resoluci%C3%B3n%20000044%20de%2020-05-2021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GIoyDR5jKHDO8plHTQpmWmDrQ==">CgMxLjAyDmgubXk4cnNoYzgyamk0OAByITFWTTNVLXY0SF93dnhyUWlRWWd4bTl1eTEtMWRqRGVQRw==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2025-02-04T15:09:00Z</dcterms:created>
  <dc:creator>Laura Alejandra Bruzon Rada</dc:creator>
</cp:coreProperties>
</file>