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Sector solidario reporta aumento histórico de excedentes en 2025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Bogotá, marzo 02 de 2026.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El sector solidario financiero, compuesto por cooperativas, asociaciones mutuales y fondos de empleados aumentó 37% sus excedentes en el 2025, comparado con el año 2024, consolidándose como uno de los renglones de la economía con mayor crecimiento.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Durante el Gobierno del Presidente Gustavo Petro, el aumento de los excedentes, como se conoce técnicamente a las ganancias del sector cooperativo han ido aumentando de manera exponencial: A cierre de 2023 superaron los $182 mil millones; en 2024 subieron a $294 mil millones y a diciembre 31 de 2025 superaron los 420 mil millones de pesos. 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 Superintendente de Economía Solidaria, María José Navarro, afirmó que “el resultado del sector durante el último año representa un hito sin precedentes en la historia del cooperativismo de ahorro y crédito en Colombia”.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 funcionaria agregó que “este resultado no sólo valida la confianza de los asociados en el modelo solidario, sino que subraya una eficiencia operativa superior de la economía social y solidaria en un entorno financiero cada vez más competitivo”.  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Los 120 mil millones adicionales que ganaron en el último año los asociados a las cooperativas financieras, van d e la mano del nuevo enfoque que el Gobierno del Cambio ha venido implementando, con una supervisión preventiva, basada en la medición responsable del riesgo y con énfasis especial en el direccionamiento de recursos a la economía popular.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Con este enfoque de crédito asociativo popular y comunitario, los micro, pequeños y medianos emprendedores han encontrado en las cooperativas un instrumento clave para apalancar sus proyectos, con un beneficio social que antes no era alcanzable a través de los sistemas financieros tradicionales, por falta de acceso.     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Las cooperativas con mayores excedentes en el 2025 fueron en su orden: Financiera Comultrasan ($ 52.205.436.309); Crediservir ($ 41.820.586.436); Codema ($ 31.703.262.082); Coomuldesa ($ 23.876.805.711); Utrahuilca ($ 15.749.543.309); Coopetraban ($ 10.310.371.954); Coprocenva ($ 9.178.690.558); Juriscoop ($ 6.365.994.073) y Fincomercio ($ 6.150.612.537).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j6recdnu4vm8" w:id="0"/>
      <w:bookmarkEnd w:id="0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El desempeño financiero de este grupo no solo ratifica su protagonismo dentro del sistema de ahorro y crédito solidario , sino que establece un estándar de eficiencia operativa para el resto del sistema. Con excedentes que superan los $197 mil millones, estas entidades han logrado lo que se denomina como "economía de escala". (FIN)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20160" w:w="12240" w:orient="portrait"/>
      <w:pgMar w:bottom="1757" w:top="2065" w:left="1701" w:right="1701" w:header="708" w:footer="9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-9206</wp:posOffset>
              </wp:positionH>
              <wp:positionV relativeFrom="paragraph">
                <wp:posOffset>-428306</wp:posOffset>
              </wp:positionV>
              <wp:extent cx="6067425" cy="1268095"/>
              <wp:effectExtent b="0" l="0" r="0" t="0"/>
              <wp:wrapNone/>
              <wp:docPr id="174096940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31338" y="3165003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________________________________________________________________________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Superintendencia de la Economía Solidaria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Avenida Calle 24 (Esperanza) N° 60-50 Piso 8 Centro Empresarial Gran Estación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PBX: (+57)(601)7 560 557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Línea Gratis: 018000-180-430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-9206</wp:posOffset>
              </wp:positionH>
              <wp:positionV relativeFrom="paragraph">
                <wp:posOffset>-428306</wp:posOffset>
              </wp:positionV>
              <wp:extent cx="6067425" cy="1268095"/>
              <wp:effectExtent b="0" l="0" r="0" t="0"/>
              <wp:wrapNone/>
              <wp:docPr id="174096940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7425" cy="1268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bookmarkStart w:colFirst="0" w:colLast="0" w:name="_heading=h.my8rshc82ji4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-1108074</wp:posOffset>
          </wp:positionH>
          <wp:positionV relativeFrom="paragraph">
            <wp:posOffset>-417194</wp:posOffset>
          </wp:positionV>
          <wp:extent cx="7806054" cy="12798867"/>
          <wp:effectExtent b="0" l="0" r="0" t="0"/>
          <wp:wrapNone/>
          <wp:docPr id="174096940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6054" cy="127988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rPr>
      <w:color w:val="0563c1"/>
      <w:u w:val="single"/>
    </w:rPr>
  </w:style>
  <w:style w:type="paragraph" w:styleId="11">
    <w:name w:val="Normal (Web)"/>
    <w:basedOn w:val="1"/>
    <w:uiPriority w:val="99"/>
    <w:semiHidden w:val="1"/>
    <w:unhideWhenUsed w:val="1"/>
    <w:rPr>
      <w:rFonts w:ascii="Times New Roman" w:cs="Times New Roman" w:hAnsi="Times New Roman"/>
      <w:sz w:val="24"/>
      <w:szCs w:val="24"/>
    </w:rPr>
  </w:style>
  <w:style w:type="table" w:styleId="14" w:customStyle="1">
    <w:name w:val="TableNormal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5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6">
    <w:name w:val="List Paragraph"/>
    <w:basedOn w:val="1"/>
    <w:uiPriority w:val="34"/>
    <w:qFormat w:val="1"/>
    <w:pPr>
      <w:ind w:left="720"/>
      <w:contextualSpacing w:val="1"/>
    </w:pPr>
  </w:style>
  <w:style w:type="character" w:styleId="17" w:customStyle="1">
    <w:name w:val="Unresolved Mention"/>
    <w:basedOn w:val="8"/>
    <w:uiPriority w:val="99"/>
    <w:semiHidden w:val="1"/>
    <w:unhideWhenUsed w:val="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9nPJo9SAEVwDwH6TPxUOorJog==">CgMxLjAyDmguajZyZWNkbnU0dm04Mg5oLm15OHJzaGM4MmppNDgAciExaFhNbWU4b0NfSzN6UG1sX0NZZGhsYy1GY3RoaEUxTlE=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2025-02-04T15:09:00Z</dcterms:created>
  <dc:creator>Laura Alejandra Bruzon Rada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50AFBFC0758345788683C7F4EA0777E9_13</vt:lpwstr>
  </property>
</Properties>
</file>