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Arial" w:cs="Arial" w:eastAsia="Arial" w:hAnsi="Arial"/>
          <w:b w:val="1"/>
          <w:bCs w:val="1"/>
        </w:rPr>
      </w:pPr>
      <w:r w:rsidDel="00000000" w:rsidR="00000000" w:rsidRPr="00000000">
        <w:rPr>
          <w:rFonts w:ascii="Calibri" w:cs="Calibri" w:eastAsia="Calibri" w:hAnsi="Calibri"/>
          <w:b w:val="1"/>
          <w:bCs w:val="1"/>
          <w:sz w:val="24"/>
          <w:szCs w:val="24"/>
          <w:rtl w:val="0"/>
        </w:rPr>
        <w:t xml:space="preserve">Boletín de Prensa</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color w:val="1f1f1f"/>
          <w:highlight w:val="white"/>
        </w:rPr>
      </w:pPr>
      <w:r w:rsidDel="00000000" w:rsidR="00000000" w:rsidRPr="00000000">
        <w:rPr>
          <w:rFonts w:ascii="Arial" w:cs="Arial" w:eastAsia="Arial" w:hAnsi="Arial"/>
          <w:b w:val="1"/>
          <w:bCs w:val="1"/>
          <w:rtl w:val="0"/>
        </w:rPr>
        <w:t xml:space="preserve">El Gobierno Petro faculta a la Supersolidaria para implementar medidas financieras de emergencia </w:t>
      </w:r>
      <w:r w:rsidDel="00000000" w:rsidR="00000000" w:rsidRPr="00000000">
        <w:rPr>
          <w:rtl w:val="0"/>
        </w:rPr>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b w:val="1"/>
          <w:bCs w:val="1"/>
          <w:color w:val="1f1f1f"/>
          <w:highlight w:val="white"/>
          <w:rtl w:val="0"/>
        </w:rPr>
        <w:t xml:space="preserve">Bogotá, marzo 17 de 2026</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w:t>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 xml:space="preserve">Un completo paquete de medidas financieras, orientado a apoyar a la población afectada por las fuertes lluvias e inundaciones en el norte del país, comienza a ser implementando por la Superintendencia de Economía Solidaria, en el marco de la Emergencia Económica que decretó el Gobierno y que cobija a ocho departamentos.</w:t>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La Superintendenta de Economía Solidaria, María José Navarro, explicó que las medidas decretadas de manera extraordinaria, “están enfocadas a conjurar la crisis ocasionada por la emergencia económica, social y ecológica a través de instrumentos de garantía de crédito que promuevan la financiación de unidades productivas afectadas por la emergencia, a través de herramientas que fortalezcan el crédito asociativo con especial énfasis en la micro, pequeña y mediana empresa”.</w:t>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Los decretos de emergencia establecen  que las entidades financieras del sector solidario, vigiladas por la Supersolidaria, adoptarán programas de refinanciación de las obligaciones que tengan contraídas con las personas afectadas por el estado de emergencia.</w:t>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Las cooperativas de ahorro y crédito podrán ofrecer líneas especializadas de crédito asociativo. “Para estos efectos, el deudor de los créditos asociativos será la respectiva asociación, organización o ente establecido por los asociados. En todo caso, las personas naturales asociadas podrán asumir responsabilidad en el crédito de forma proporcional a sus aportes o participación en la organización o en la obligación, según el caso”, señala el decreto 0244 de 2026 expedido recientemente.    </w:t>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La norma establece también que la Superintendencia de Economía Solidaria tendrá facultades “para definir condiciones especiales para el análisis conjunto de la capacidad crediticia de los deudores de los créditos asociativos”.</w:t>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El Gobierno del presidente Gustavo Petro también creó el programa de crédito de emergencia para el sector empresarial, “orientado a promover el financiamiento de la micro, la pequeña y la mediana empresa en los sectores elegibles para conjurar la crisis o impedir la extensión de sus efectos en el territorio nacional”.</w:t>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b w:val="1"/>
          <w:bCs w:val="1"/>
          <w:rtl w:val="0"/>
        </w:rPr>
        <w:t xml:space="preserve">Incentivo tributario a las cooperativas</w:t>
      </w:r>
      <w:r w:rsidDel="00000000" w:rsidR="00000000" w:rsidRPr="00000000">
        <w:rPr>
          <w:rFonts w:ascii="Arial" w:cs="Arial" w:eastAsia="Arial" w:hAnsi="Arial"/>
          <w:rtl w:val="0"/>
        </w:rPr>
        <w:t xml:space="preserve"> </w:t>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Al respecto, la Superintendenta Navarro, informó también que la emergencia económica contempla alivios tributarios para las organizaciones cooperativas, como la reducción del 60% de la base gravable para las cooperativas de ahorro y crédito, que establece el decreto 240 de 2026.</w:t>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“Es una muy buena noticia que los aportes sociales y la reserva de protección de esos aportes salen de la base gravable. Esto genera un impacto muy importante para las cooperativas del país y para los más de siete millones de asociadas y asociados, tanto a las cooperativas de ahorro y crédito como a los asociados de cooperativas del sector real”, explicó la superintendenta.   </w:t>
      </w:r>
    </w:p>
    <w:p w:rsidR="00000000" w:rsidDel="00000000" w:rsidP="00000000" w:rsidRDefault="00000000" w:rsidRPr="00000000" w14:paraId="0000000D">
      <w:pPr>
        <w:jc w:val="both"/>
        <w:rPr>
          <w:rFonts w:ascii="Arial" w:cs="Arial" w:eastAsia="Arial" w:hAnsi="Arial"/>
          <w:color w:val="0f1419"/>
          <w:highlight w:val="white"/>
        </w:rPr>
      </w:pPr>
      <w:r w:rsidDel="00000000" w:rsidR="00000000" w:rsidRPr="00000000">
        <w:rPr>
          <w:rFonts w:ascii="Arial" w:cs="Arial" w:eastAsia="Arial" w:hAnsi="Arial"/>
          <w:rtl w:val="0"/>
        </w:rPr>
        <w:t xml:space="preserve">De otro lado, la funcionaria también saludó las gestiones que lidera el Ministerio de Hacienda  </w:t>
      </w:r>
      <w:r w:rsidDel="00000000" w:rsidR="00000000" w:rsidRPr="00000000">
        <w:rPr>
          <w:rFonts w:ascii="Arial" w:cs="Arial" w:eastAsia="Arial" w:hAnsi="Arial"/>
          <w:color w:val="0f1419"/>
          <w:highlight w:val="white"/>
          <w:rtl w:val="0"/>
        </w:rPr>
        <w:t xml:space="preserve">para garantizar alivios financieros a los damnificados por la ola invernal a través del sistema bancario. </w:t>
      </w:r>
    </w:p>
    <w:p w:rsidR="00000000" w:rsidDel="00000000" w:rsidP="00000000" w:rsidRDefault="00000000" w:rsidRPr="00000000" w14:paraId="0000000E">
      <w:pPr>
        <w:jc w:val="both"/>
        <w:rPr>
          <w:rFonts w:ascii="SimSun" w:cs="SimSun" w:eastAsia="SimSun" w:hAnsi="SimSun"/>
          <w:sz w:val="24"/>
          <w:szCs w:val="24"/>
        </w:rPr>
      </w:pPr>
      <w:r w:rsidDel="00000000" w:rsidR="00000000" w:rsidRPr="00000000">
        <w:rPr>
          <w:rFonts w:ascii="Arial" w:cs="Arial" w:eastAsia="Arial" w:hAnsi="Arial"/>
          <w:color w:val="0f1419"/>
          <w:highlight w:val="white"/>
          <w:rtl w:val="0"/>
        </w:rPr>
        <w:t xml:space="preserve">“El nuevo pacto traza una hoja de ruta fundamental para la recuperación de las zonas afectadas por el Frente Frío, en 8 departamentos del país. Para el Gobierno del Presidente Petro, impulsar el crédito asociativo y productivo es una prioridad de política pública. Desde la Supersolidaria ,hemos impulsado la colocación de 1,8 billones de pesos más en crédito productivo en el último año, a estratos 1,2 y 3, mayoritariamente a mujeres” puntualizó la funcionaria</w:t>
      </w:r>
      <w:r w:rsidDel="00000000" w:rsidR="00000000" w:rsidRPr="00000000">
        <w:rPr>
          <w:rFonts w:ascii="Arial" w:cs="Arial" w:eastAsia="Arial" w:hAnsi="Arial"/>
          <w:rtl w:val="0"/>
        </w:rPr>
        <w:t xml:space="preserve">.</w:t>
      </w:r>
      <w:r w:rsidDel="00000000" w:rsidR="00000000" w:rsidRPr="00000000">
        <w:rPr>
          <w:rFonts w:ascii="SimSun" w:cs="SimSun" w:eastAsia="SimSun" w:hAnsi="SimSun"/>
          <w:sz w:val="24"/>
          <w:szCs w:val="24"/>
          <w:rtl w:val="0"/>
        </w:rPr>
        <w:t xml:space="preserve">   </w:t>
      </w:r>
    </w:p>
    <w:p w:rsidR="00000000" w:rsidDel="00000000" w:rsidP="00000000" w:rsidRDefault="00000000" w:rsidRPr="00000000" w14:paraId="0000000F">
      <w:pPr>
        <w:jc w:val="both"/>
        <w:rPr>
          <w:rFonts w:ascii="SimSun" w:cs="SimSun" w:eastAsia="SimSun" w:hAnsi="SimSun"/>
          <w:sz w:val="24"/>
          <w:szCs w:val="24"/>
        </w:rPr>
      </w:pPr>
      <w:r w:rsidDel="00000000" w:rsidR="00000000" w:rsidRPr="00000000">
        <w:rPr>
          <w:rtl w:val="0"/>
        </w:rPr>
      </w:r>
    </w:p>
    <w:p w:rsidR="00000000" w:rsidDel="00000000" w:rsidP="00000000" w:rsidRDefault="00000000" w:rsidRPr="00000000" w14:paraId="00000010">
      <w:pPr>
        <w:jc w:val="both"/>
        <w:rPr>
          <w:rFonts w:ascii="SimSun" w:cs="SimSun" w:eastAsia="SimSun" w:hAnsi="SimSun"/>
          <w:sz w:val="24"/>
          <w:szCs w:val="24"/>
        </w:rPr>
      </w:pPr>
      <w:r w:rsidDel="00000000" w:rsidR="00000000" w:rsidRPr="00000000">
        <w:rPr>
          <w:rtl w:val="0"/>
        </w:rPr>
      </w:r>
    </w:p>
    <w:p w:rsidR="00000000" w:rsidDel="00000000" w:rsidP="00000000" w:rsidRDefault="00000000" w:rsidRPr="00000000" w14:paraId="00000011">
      <w:pPr>
        <w:rPr>
          <w:rFonts w:ascii="SimSun" w:cs="SimSun" w:eastAsia="SimSun" w:hAnsi="SimSun"/>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20160" w:w="12240" w:orient="portrait"/>
      <w:pgMar w:bottom="1757" w:top="2065" w:left="1701" w:right="1701" w:header="708" w:footer="91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SimSu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-423226</wp:posOffset>
              </wp:positionV>
              <wp:extent cx="6038850" cy="1239520"/>
              <wp:effectExtent b="0" l="0" r="0" t="0"/>
              <wp:wrapNone/>
              <wp:docPr id="3" name=""/>
              <a:graphic>
                <a:graphicData uri="http://schemas.microsoft.com/office/word/2010/wordprocessingShape">
                  <wps:wsp>
                    <wps:cNvSpPr/>
                    <wps:cNvPr id="2" name="Shape 2"/>
                    <wps:spPr>
                      <a:xfrm>
                        <a:off x="2331338" y="3165003"/>
                        <a:ext cx="6029325" cy="122999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Helvetica Neue" w:cs="Helvetica Neue" w:eastAsia="Helvetica Neue" w:hAnsi="Helvetica Neue"/>
                              <w:b w:val="0"/>
                              <w:i w:val="0"/>
                              <w:smallCaps w:val="0"/>
                              <w:strike w:val="0"/>
                              <w:color w:val="000000"/>
                              <w:sz w:val="20"/>
                              <w:vertAlign w:val="baseline"/>
                            </w:rPr>
                            <w:t xml:space="preserve">________________________________________________________________________</w:t>
                          </w:r>
                        </w:p>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Aptos" w:cs="Aptos" w:eastAsia="Aptos" w:hAnsi="Aptos"/>
                              <w:b w:val="0"/>
                              <w:i w:val="0"/>
                              <w:smallCaps w:val="0"/>
                              <w:strike w:val="0"/>
                              <w:color w:val="000000"/>
                              <w:sz w:val="22"/>
                              <w:vertAlign w:val="baseline"/>
                            </w:rPr>
                          </w:r>
                          <w:r w:rsidDel="00000000" w:rsidR="00000000" w:rsidRPr="00000000">
                            <w:rPr>
                              <w:rFonts w:ascii="Verdana" w:cs="Verdana" w:eastAsia="Verdana" w:hAnsi="Verdana"/>
                              <w:b w:val="1"/>
                              <w:i w:val="0"/>
                              <w:smallCaps w:val="0"/>
                              <w:strike w:val="0"/>
                              <w:color w:val="000000"/>
                              <w:sz w:val="20"/>
                              <w:vertAlign w:val="baseline"/>
                            </w:rPr>
                            <w:t xml:space="preserve">Superintendencia de la Economía Solidaria</w:t>
                          </w:r>
                        </w:p>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Aptos" w:cs="Aptos" w:eastAsia="Aptos" w:hAnsi="Aptos"/>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Avenida Calle 24 (Esperanza) N° 60-50 Piso 8 Centro Empresarial Gran Estación</w:t>
                          </w:r>
                        </w:p>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Aptos" w:cs="Aptos" w:eastAsia="Aptos" w:hAnsi="Aptos"/>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PBX: (+57)(601)7 560 557</w:t>
                          </w:r>
                        </w:p>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Línea Gratis: 018000-180-430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-423226</wp:posOffset>
              </wp:positionV>
              <wp:extent cx="6038850" cy="1239520"/>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038850" cy="123952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tabs>
        <w:tab w:val="center" w:leader="none" w:pos="4419"/>
        <w:tab w:val="right" w:leader="none" w:pos="8838"/>
      </w:tabs>
      <w:spacing w:after="0" w:line="240" w:lineRule="auto"/>
      <w:rPr>
        <w:color w:val="000000"/>
      </w:rPr>
    </w:pPr>
    <w:bookmarkStart w:colFirst="0" w:colLast="0" w:name="_heading=h.c2rrav92ayp5"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-1108074</wp:posOffset>
          </wp:positionH>
          <wp:positionV relativeFrom="paragraph">
            <wp:posOffset>-417194</wp:posOffset>
          </wp:positionV>
          <wp:extent cx="7806054" cy="12798867"/>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6054" cy="12798867"/>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color w:val="0f4761"/>
      <w:sz w:val="28"/>
      <w:szCs w:val="28"/>
    </w:rPr>
  </w:style>
  <w:style w:type="paragraph" w:styleId="Heading4">
    <w:name w:val="heading 4"/>
    <w:basedOn w:val="Normal"/>
    <w:next w:val="Normal"/>
    <w:pPr>
      <w:keepNext w:val="1"/>
      <w:keepLines w:val="1"/>
      <w:spacing w:after="40" w:before="80" w:line="278.00000000000006" w:lineRule="auto"/>
    </w:pPr>
    <w:rPr>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color w:val="0f4761"/>
      <w:sz w:val="24"/>
      <w:szCs w:val="24"/>
    </w:rPr>
  </w:style>
  <w:style w:type="paragraph" w:styleId="Heading6">
    <w:name w:val="heading 6"/>
    <w:basedOn w:val="Normal"/>
    <w:next w:val="Normal"/>
    <w:pPr>
      <w:keepNext w:val="1"/>
      <w:keepLines w:val="1"/>
      <w:spacing w:after="0" w:before="40" w:line="278.00000000000006" w:lineRule="auto"/>
    </w:pPr>
    <w:rPr>
      <w:i w:val="1"/>
      <w:iCs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basedOn w:val="Fuentedeprrafopredeter"/>
    <w:uiPriority w:val="99"/>
    <w:semiHidden w:val="1"/>
    <w:unhideWhenUsed w:val="1"/>
    <w:qFormat w:val="1"/>
    <w:rPr>
      <w:color w:val="0000ff" w:themeColor="hyperlink"/>
      <w:u w:val="single"/>
    </w:rPr>
  </w:style>
  <w:style w:type="character" w:styleId="Fuerte">
    <w:name w:val="Strong"/>
    <w:basedOn w:val="Fuentedeprrafopredeter"/>
    <w:uiPriority w:val="22"/>
    <w:qFormat w:val="1"/>
    <w:rPr>
      <w:b w:val="1"/>
      <w:bCs w:val="1"/>
    </w:rPr>
  </w:style>
  <w:style w:type="paragraph" w:styleId="NormalWeb">
    <w:name w:val="Normal (Web)"/>
    <w:basedOn w:val="Normal"/>
    <w:uiPriority w:val="99"/>
    <w:semiHidden w:val="1"/>
    <w:unhideWhenUsed w:val="1"/>
    <w:qFormat w:val="1"/>
    <w:pPr>
      <w:spacing w:after="100" w:afterAutospacing="1" w:before="100" w:beforeAutospacing="1" w:line="240" w:lineRule="auto"/>
    </w:pPr>
    <w:rPr>
      <w:rFonts w:ascii="Times New Roman" w:cs="Times New Roman" w:eastAsia="Times New Roman" w:hAnsi="Times New Roman"/>
      <w:sz w:val="24"/>
      <w:szCs w:val="24"/>
      <w:lang w:eastAsia="es-CO" w:val="es-CO"/>
    </w:rPr>
  </w:style>
  <w:style w:type="table" w:styleId="TableNormal" w:customStyle="1">
    <w:name w:val="Table Normal"/>
    <w:qFormat w:val="1"/>
    <w:tblPr>
      <w:tblCellMar>
        <w:top w:w="0.0" w:type="dxa"/>
        <w:left w:w="0.0" w:type="dxa"/>
        <w:bottom w:w="0.0" w:type="dxa"/>
        <w:right w:w="0.0" w:type="dxa"/>
      </w:tblCellMar>
    </w:tblPr>
  </w:style>
  <w:style w:type="paragraph" w:styleId="Prrafodelista">
    <w:name w:val="List Paragraph"/>
    <w:basedOn w:val="Normal"/>
    <w:uiPriority w:val="34"/>
    <w:qFormat w:val="1"/>
    <w:pPr>
      <w:spacing w:line="256" w:lineRule="auto"/>
      <w:ind w:left="720"/>
      <w:contextualSpacing w:val="1"/>
    </w:pPr>
    <w:rPr>
      <w:rFonts w:asciiTheme="minorHAnsi" w:cstheme="minorBidi" w:eastAsiaTheme="minorHAnsi" w:hAnsiTheme="minorHAnsi"/>
      <w:kern w:val="2"/>
      <w:lang w:val="es-ES"/>
    </w:rPr>
  </w:style>
  <w:style w:type="paragraph" w:styleId="Subtitle">
    <w:name w:val="Subtitle"/>
    <w:basedOn w:val="Normal"/>
    <w:next w:val="Normal"/>
    <w:pPr>
      <w:spacing w:line="278.00000000000006"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JOjH1Pb9arkxstV0rRbWDtKc4g==">CgMxLjAyDmguYzJycmF2OTJheXA1OAByITEtU0RPZG1reXFVb0d6Mm5jZ3loemN5aGxmSnhpcUNZOA==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2026-03-17T19:42:00Z</dcterms:created>
  <dc:creator>Laura Alejandra Bruzon Rada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AA85EB51185E47538C49F9B9E0D12639_13</vt:lpwstr>
  </property>
</Properties>
</file>