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3">
      <w:pPr>
        <w:spacing w:after="0" w:line="24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Encuentro Cafetero</w:t>
      </w:r>
    </w:p>
    <w:p w:rsidR="00000000" w:rsidDel="00000000" w:rsidP="00000000" w:rsidRDefault="00000000" w:rsidRPr="00000000" w14:paraId="00000004">
      <w:pPr>
        <w:spacing w:after="0" w:line="240" w:lineRule="auto"/>
        <w:jc w:val="cente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El Gobierno Petro sienta las bases para fortalecer las cooperativas de caficultores  </w:t>
      </w:r>
    </w:p>
    <w:p w:rsidR="00000000" w:rsidDel="00000000" w:rsidP="00000000" w:rsidRDefault="00000000" w:rsidRPr="00000000" w14:paraId="00000006">
      <w:pPr>
        <w:spacing w:after="0" w:line="240" w:lineRule="auto"/>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w:t>
        <w:tab/>
        <w:t xml:space="preserve">Se busca proteger un patrimonio de $550 mil millones</w:t>
      </w:r>
    </w:p>
    <w:p w:rsidR="00000000" w:rsidDel="00000000" w:rsidP="00000000" w:rsidRDefault="00000000" w:rsidRPr="00000000" w14:paraId="00000008">
      <w:pPr>
        <w:spacing w:after="0" w:line="24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9">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Bogotá, 23 de abril de 2026.</w:t>
      </w:r>
      <w:r w:rsidDel="00000000" w:rsidR="00000000" w:rsidRPr="00000000">
        <w:rPr>
          <w:rFonts w:ascii="Verdana" w:cs="Verdana" w:eastAsia="Verdana" w:hAnsi="Verdana"/>
          <w:sz w:val="22"/>
          <w:szCs w:val="22"/>
          <w:rtl w:val="0"/>
        </w:rPr>
        <w:t xml:space="preserve"> Con el objetivo de fortalecer la caficultura, de la que dependen más de 550 mil familias campesinas en el país, el Gobierno del presidente, Gustavo Petro, lidera la estrategia para impulsar las cooperativas de caficultores y garantizar sus condiciones de permanencia a largo plazo.</w:t>
      </w:r>
    </w:p>
    <w:p w:rsidR="00000000" w:rsidDel="00000000" w:rsidP="00000000" w:rsidRDefault="00000000" w:rsidRPr="00000000" w14:paraId="0000000A">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B">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través de la Superintendencia de Economía Solidaria, el Gobierno del Cambio lidera la estructuración de una hoja de ruta, para impulsar este importante sector de la economía y consolidar una base social que cuenta con 75.800 asociados a las cooperativas, en al menos 76 entidades del sector solidario, que le reportan información financiera a la Supersolidaria. Esto representa el 50% del sector cafetero nacional.</w:t>
      </w:r>
    </w:p>
    <w:p w:rsidR="00000000" w:rsidDel="00000000" w:rsidP="00000000" w:rsidRDefault="00000000" w:rsidRPr="00000000" w14:paraId="0000000C">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D">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 Superintendente, María José Navarro, explicó que “se trata de una construcción colectiva en la que el Gobierno escucha las necesidades de las cooperativas y propicia un diálogo participativo, que permita estructurar u na política pública de largo aliento para el sector cafetero”.    </w:t>
      </w:r>
    </w:p>
    <w:p w:rsidR="00000000" w:rsidDel="00000000" w:rsidP="00000000" w:rsidRDefault="00000000" w:rsidRPr="00000000" w14:paraId="0000000E">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F">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Al presentar un diagnóstico sobre las entidades que garantizan la compra al productor, la superintendente Navarro afirmó que “las cooperativas tienen el rol vital de regular el precio interno y se constituyen en un eslabón clave para la formalización del sector”.  </w:t>
      </w:r>
    </w:p>
    <w:p w:rsidR="00000000" w:rsidDel="00000000" w:rsidP="00000000" w:rsidRDefault="00000000" w:rsidRPr="00000000" w14:paraId="00000010">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1">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Agregó que “uno de los objetivos de construir esta hoja de ruta para la caficultura es alcanzar  la industrialización del sector, a través de las cooperativas cafeteras”. </w:t>
      </w:r>
    </w:p>
    <w:p w:rsidR="00000000" w:rsidDel="00000000" w:rsidP="00000000" w:rsidRDefault="00000000" w:rsidRPr="00000000" w14:paraId="00000012">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3">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 el diálogo con los representantes de las cooperativas cafeteras, de al menos 15 departamentos convocados al diálogo, la superintendente Navarro escuchó sus inquietudes, preocupaciones y propuestas, con el fin  de estructurar mecanismos que mejoren las condiciones de operación del tejido empresarial cafetero.      </w:t>
      </w:r>
    </w:p>
    <w:p w:rsidR="00000000" w:rsidDel="00000000" w:rsidP="00000000" w:rsidRDefault="00000000" w:rsidRPr="00000000" w14:paraId="00000014">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5">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Anunció que el Gobierno Nacional, a través de la Supersolidaria alista un proyecto de circular que identifique a las cooperativas cafeteras y a las cooperativas de ahorro y crédito, de modo que se puedan conectar para facilitar el acceso a crédito agropecuario.  </w:t>
      </w:r>
    </w:p>
    <w:p w:rsidR="00000000" w:rsidDel="00000000" w:rsidP="00000000" w:rsidRDefault="00000000" w:rsidRPr="00000000" w14:paraId="00000016">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7">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“Lo ideal es que las cooperativas de ahorro y crédito se conviertan en los fondeadores de esta actividad”, dijo la Superintendenta Navarro.</w:t>
      </w:r>
    </w:p>
    <w:p w:rsidR="00000000" w:rsidDel="00000000" w:rsidP="00000000" w:rsidRDefault="00000000" w:rsidRPr="00000000" w14:paraId="00000018">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9">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su turno, los representantes de las cooperativas que compran y venden café plantearon los desafíos que enfrentan y que están relacionados con necesidades de liquidez, con los riesgos que implica la volatilidad del mercado cafetero y los riesgos asociados a la variabilidad climática. </w:t>
      </w:r>
    </w:p>
    <w:p w:rsidR="00000000" w:rsidDel="00000000" w:rsidP="00000000" w:rsidRDefault="00000000" w:rsidRPr="00000000" w14:paraId="0000001A">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B">
      <w:pPr>
        <w:spacing w:after="0" w:line="24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Como resultado de este ejercicio se espera que la base social de la caficultura, representada en las cooperativas que operan en los municipios y corregimientos cafeteros, puedan robustecerse y mejoren las condiciones de compra y venta del grano, especialmente para los pequeños y medianos productores del grano.    </w:t>
      </w:r>
    </w:p>
    <w:p w:rsidR="00000000" w:rsidDel="00000000" w:rsidP="00000000" w:rsidRDefault="00000000" w:rsidRPr="00000000" w14:paraId="0000001C">
      <w:pPr>
        <w:spacing w:after="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D">
      <w:pPr>
        <w:spacing w:after="0"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 este ejercicio de diálogo con las cooperativas cafeteras, queda también planteado un mensaje muy importante y es que la administración del Fondo Nacional del Café, debe dar respuesta a estas necesidades que hoy plantean las cooperativas cafeteras del país”, afirmó la Superintendenta Navarro. </w:t>
      </w:r>
    </w:p>
    <w:p w:rsidR="00000000" w:rsidDel="00000000" w:rsidP="00000000" w:rsidRDefault="00000000" w:rsidRPr="00000000" w14:paraId="0000001F">
      <w:pPr>
        <w:spacing w:after="0"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0">
      <w:pPr>
        <w:spacing w:after="0"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modo de conclusión de la jornada, la Supersolidaria señaló que este primer  encuentro con las cooperativas cafeteras debe ser punto de partida para “proponer acciones muy concretas a algunas entidades específicas, como Unidad Solidaria, el Fondo Nacional de Garantías, los ministerios de Agricultura y de Comercio y la banca de segundo piso del Grupo Bicentenario y programar una segunda jornada en próximas semanas con el fin de sentar a las cabezas de estas entidades con un plan de acción, con acciones que vayan más allá de este gobierno.   </w:t>
      </w:r>
    </w:p>
    <w:p w:rsidR="00000000" w:rsidDel="00000000" w:rsidP="00000000" w:rsidRDefault="00000000" w:rsidRPr="00000000" w14:paraId="00000021">
      <w:pPr>
        <w:spacing w:after="0" w:line="240" w:lineRule="auto"/>
        <w:jc w:val="left"/>
        <w:rPr>
          <w:rFonts w:ascii="Arial" w:cs="Arial" w:eastAsia="Arial" w:hAnsi="Arial"/>
          <w:sz w:val="24"/>
          <w:szCs w:val="24"/>
        </w:rPr>
      </w:pPr>
      <w:bookmarkStart w:colFirst="0" w:colLast="0" w:name="_heading=h.jdx10re3893z" w:id="0"/>
      <w:bookmarkEnd w:id="0"/>
      <w:r w:rsidDel="00000000" w:rsidR="00000000" w:rsidRPr="00000000">
        <w:rPr>
          <w:rtl w:val="0"/>
        </w:rPr>
      </w:r>
    </w:p>
    <w:p w:rsidR="00000000" w:rsidDel="00000000" w:rsidP="00000000" w:rsidRDefault="00000000" w:rsidRPr="00000000" w14:paraId="00000022">
      <w:pPr>
        <w:spacing w:after="0" w:line="240" w:lineRule="auto"/>
        <w:jc w:val="left"/>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57" w:top="2065" w:left="1701" w:right="1701" w:header="708" w:footer="9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-9206</wp:posOffset>
              </wp:positionH>
              <wp:positionV relativeFrom="paragraph">
                <wp:posOffset>-428306</wp:posOffset>
              </wp:positionV>
              <wp:extent cx="6067425" cy="1268095"/>
              <wp:effectExtent b="0" l="0" r="0" t="0"/>
              <wp:wrapNone/>
              <wp:docPr id="1" name=""/>
              <a:graphic>
                <a:graphicData uri="http://schemas.microsoft.com/office/word/2010/wordprocessingShape">
                  <wps:wsp>
                    <wps:cNvSpPr/>
                    <wps:cNvPr id="2" name="Shape 2"/>
                    <wps:spPr>
                      <a:xfrm>
                        <a:off x="2331338" y="3165003"/>
                        <a:ext cx="6029325" cy="122999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Helvetica Neue" w:cs="Helvetica Neue" w:eastAsia="Helvetica Neue" w:hAnsi="Helvetica Neue"/>
                              <w:b w:val="0"/>
                              <w:i w:val="0"/>
                              <w:smallCaps w:val="0"/>
                              <w:strike w:val="0"/>
                              <w:color w:val="000000"/>
                              <w:sz w:val="20"/>
                              <w:vertAlign w:val="baseline"/>
                            </w:rPr>
                            <w:t xml:space="preserve">________________________________________________________________________</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Helvetica Neue" w:cs="Helvetica Neue" w:eastAsia="Helvetica Neue" w:hAnsi="Helvetica Neue"/>
                              <w:b w:val="0"/>
                              <w:i w:val="0"/>
                              <w:smallCaps w:val="0"/>
                              <w:strike w:val="0"/>
                              <w:color w:val="000000"/>
                              <w:sz w:val="20"/>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Superintendencia de la Economía Solidaria</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1"/>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Avenida Calle 24 (Esperanza) N° 60-50 Piso 8 Centro Empresarial Gran Estación</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PBX: (+57)(601)7 560 557</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Línea Gratis: 018000-180-430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-9206</wp:posOffset>
              </wp:positionH>
              <wp:positionV relativeFrom="paragraph">
                <wp:posOffset>-428306</wp:posOffset>
              </wp:positionV>
              <wp:extent cx="6067425" cy="126809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67425" cy="12680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spacing w:after="0" w:line="240" w:lineRule="auto"/>
      <w:rPr>
        <w:color w:val="000000"/>
      </w:rPr>
    </w:pPr>
    <w:bookmarkStart w:colFirst="0" w:colLast="0" w:name="_heading=h.my8rshc82ji4" w:id="1"/>
    <w:bookmarkEnd w:id="1"/>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-1108074</wp:posOffset>
          </wp:positionH>
          <wp:positionV relativeFrom="paragraph">
            <wp:posOffset>-417194</wp:posOffset>
          </wp:positionV>
          <wp:extent cx="7806054" cy="1279886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054" cy="1279886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ko+d96pu8aIQgczoSOU/w0QCQ==">CgMxLjAyDmguamR4MTByZTM4OTN6Mg5oLm15OHJzaGM4MmppNDgAciExM29Oc1lQanFfVXN6WGMybUdGbklyYzZVelR2cHNoOUY=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3082-12.1.0.25242</vt:lpwstr>
  </property>
  <property fmtid="{D5CDD505-2E9C-101B-9397-08002B2CF9AE}" pid="3" name="ICV">
    <vt:lpwstr>9B7389C1F68B4F719722C0C847F3361B_13</vt:lpwstr>
  </property>
  <property fmtid="{D5CDD505-2E9C-101B-9397-08002B2CF9AE}" pid="4" name="KSOTemplateDocerSaveRecord">
    <vt:lpwstr>eyJoZGlkIjoiYTE3YTVkZGMwZGVhNDcwYWU0NWM4ODc1ZDM0NDk1N2YifQ==</vt:lpwstr>
  </property>
</Properties>
</file>