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1908" w14:textId="1662A1EB" w:rsidR="00A021B8" w:rsidRPr="006D59B2" w:rsidRDefault="00E81D4C" w:rsidP="00B3654A">
      <w:pPr>
        <w:ind w:left="708" w:hanging="708"/>
        <w:rPr>
          <w:rFonts w:ascii="Verdana" w:hAnsi="Verdana"/>
          <w:b/>
          <w:bCs/>
          <w:sz w:val="28"/>
          <w:szCs w:val="28"/>
        </w:rPr>
      </w:pPr>
      <w:r>
        <w:rPr>
          <w:rFonts w:ascii="Verdana" w:hAnsi="Verdana"/>
          <w:b/>
          <w:bCs/>
          <w:noProof/>
          <w:sz w:val="28"/>
          <w:szCs w:val="28"/>
          <w:lang w:eastAsia="es-CO"/>
        </w:rPr>
        <w:drawing>
          <wp:anchor distT="0" distB="0" distL="114300" distR="114300" simplePos="0" relativeHeight="251659264" behindDoc="0" locked="0" layoutInCell="1" allowOverlap="1" wp14:anchorId="41741A7C" wp14:editId="1F534296">
            <wp:simplePos x="0" y="0"/>
            <wp:positionH relativeFrom="column">
              <wp:posOffset>-914400</wp:posOffset>
            </wp:positionH>
            <wp:positionV relativeFrom="paragraph">
              <wp:posOffset>-1334186</wp:posOffset>
            </wp:positionV>
            <wp:extent cx="7772400" cy="1005844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_respuestas.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175ECA45" w14:textId="77777777" w:rsidR="00EE05DC" w:rsidRDefault="00EE05DC" w:rsidP="00C0102E">
      <w:pPr>
        <w:spacing w:after="0" w:line="240" w:lineRule="auto"/>
        <w:rPr>
          <w:rFonts w:ascii="Verdana" w:hAnsi="Verdana"/>
          <w:b/>
          <w:bCs/>
          <w:sz w:val="22"/>
          <w:szCs w:val="22"/>
        </w:rPr>
      </w:pPr>
    </w:p>
    <w:p w14:paraId="722A0ADE" w14:textId="77777777" w:rsidR="00EE05DC" w:rsidRDefault="00EE05DC" w:rsidP="00C0102E">
      <w:pPr>
        <w:spacing w:after="0" w:line="240" w:lineRule="auto"/>
        <w:rPr>
          <w:rFonts w:ascii="Verdana" w:hAnsi="Verdana"/>
          <w:b/>
          <w:bCs/>
          <w:sz w:val="22"/>
          <w:szCs w:val="22"/>
        </w:rPr>
      </w:pPr>
    </w:p>
    <w:p w14:paraId="79CE9E14" w14:textId="77777777" w:rsidR="00EE05DC" w:rsidRDefault="00EE05DC" w:rsidP="00C0102E">
      <w:pPr>
        <w:spacing w:after="0" w:line="240" w:lineRule="auto"/>
        <w:rPr>
          <w:rFonts w:ascii="Verdana" w:hAnsi="Verdana"/>
          <w:b/>
          <w:bCs/>
          <w:sz w:val="22"/>
          <w:szCs w:val="22"/>
        </w:rPr>
      </w:pPr>
    </w:p>
    <w:p w14:paraId="600D19E3" w14:textId="77777777" w:rsidR="00EE05DC" w:rsidRDefault="00EE05DC" w:rsidP="00C0102E">
      <w:pPr>
        <w:spacing w:after="0" w:line="240" w:lineRule="auto"/>
        <w:rPr>
          <w:rFonts w:ascii="Verdana" w:hAnsi="Verdana"/>
          <w:b/>
          <w:bCs/>
          <w:sz w:val="22"/>
          <w:szCs w:val="22"/>
        </w:rPr>
      </w:pPr>
    </w:p>
    <w:p w14:paraId="3037C1D3" w14:textId="77777777" w:rsidR="00EE05DC" w:rsidRDefault="00EE05DC" w:rsidP="00C0102E">
      <w:pPr>
        <w:spacing w:after="0" w:line="240" w:lineRule="auto"/>
        <w:rPr>
          <w:rFonts w:ascii="Verdana" w:hAnsi="Verdana"/>
          <w:b/>
          <w:bCs/>
          <w:sz w:val="22"/>
          <w:szCs w:val="22"/>
        </w:rPr>
      </w:pPr>
    </w:p>
    <w:p w14:paraId="1524B96F" w14:textId="77777777" w:rsidR="00EE05DC" w:rsidRDefault="00EE05DC" w:rsidP="00C0102E">
      <w:pPr>
        <w:spacing w:after="0" w:line="240" w:lineRule="auto"/>
        <w:rPr>
          <w:rFonts w:ascii="Verdana" w:hAnsi="Verdana"/>
          <w:b/>
          <w:bCs/>
          <w:sz w:val="22"/>
          <w:szCs w:val="22"/>
        </w:rPr>
      </w:pPr>
    </w:p>
    <w:p w14:paraId="10F1FD13" w14:textId="77777777" w:rsidR="00EE05DC" w:rsidRDefault="00EE05DC" w:rsidP="00C0102E">
      <w:pPr>
        <w:spacing w:after="0" w:line="240" w:lineRule="auto"/>
        <w:rPr>
          <w:rFonts w:ascii="Verdana" w:hAnsi="Verdana"/>
          <w:b/>
          <w:bCs/>
          <w:sz w:val="22"/>
          <w:szCs w:val="22"/>
        </w:rPr>
      </w:pPr>
    </w:p>
    <w:p w14:paraId="545982D6" w14:textId="63001CED" w:rsidR="00C0102E" w:rsidRDefault="003F6E16" w:rsidP="00C0102E">
      <w:pPr>
        <w:spacing w:after="0" w:line="240" w:lineRule="auto"/>
        <w:rPr>
          <w:rFonts w:ascii="Verdana" w:hAnsi="Verdana"/>
          <w:b/>
          <w:bCs/>
          <w:sz w:val="22"/>
          <w:szCs w:val="22"/>
        </w:rPr>
      </w:pPr>
      <w:r>
        <w:rPr>
          <w:rFonts w:ascii="Verdana" w:hAnsi="Verdana"/>
          <w:b/>
          <w:bCs/>
          <w:sz w:val="22"/>
          <w:szCs w:val="22"/>
        </w:rPr>
        <w:t xml:space="preserve"> </w:t>
      </w:r>
      <w:r w:rsidR="006D59B2">
        <w:rPr>
          <w:rFonts w:ascii="Verdana" w:hAnsi="Verdana"/>
          <w:b/>
          <w:bCs/>
          <w:sz w:val="22"/>
          <w:szCs w:val="22"/>
        </w:rPr>
        <w:br w:type="page"/>
      </w:r>
    </w:p>
    <w:p w14:paraId="1E8E1D4E" w14:textId="1D08196E" w:rsidR="003B2FC7" w:rsidRPr="003B2FC7" w:rsidRDefault="003B2FC7" w:rsidP="003B2FC7">
      <w:pPr>
        <w:pStyle w:val="Prrafodelista"/>
        <w:spacing w:line="256" w:lineRule="auto"/>
        <w:jc w:val="both"/>
        <w:rPr>
          <w:rFonts w:ascii="Verdana" w:hAnsi="Verdana"/>
          <w:lang w:val="es-ES"/>
        </w:rPr>
      </w:pPr>
      <w:r w:rsidRPr="003B2FC7">
        <w:rPr>
          <w:rFonts w:ascii="Verdana" w:hAnsi="Verdana"/>
          <w:lang w:val="es-ES"/>
        </w:rPr>
        <w:lastRenderedPageBreak/>
        <w:t xml:space="preserve">La Superintendencia de la Economía Solidaria da respuesta a las preguntas realizadas por la ciudadanía durante el proceso de Rendición de Cuentas </w:t>
      </w:r>
      <w:r>
        <w:rPr>
          <w:rFonts w:ascii="Verdana" w:hAnsi="Verdana"/>
          <w:lang w:val="es-ES"/>
        </w:rPr>
        <w:t xml:space="preserve">realizado en la vigencia </w:t>
      </w:r>
      <w:r w:rsidRPr="003B2FC7">
        <w:rPr>
          <w:rFonts w:ascii="Verdana" w:hAnsi="Verdana"/>
          <w:lang w:val="es-ES"/>
        </w:rPr>
        <w:t>202</w:t>
      </w:r>
      <w:r>
        <w:rPr>
          <w:rFonts w:ascii="Verdana" w:hAnsi="Verdana"/>
          <w:lang w:val="es-ES"/>
        </w:rPr>
        <w:t>5</w:t>
      </w:r>
      <w:r w:rsidRPr="003B2FC7">
        <w:rPr>
          <w:rFonts w:ascii="Verdana" w:hAnsi="Verdana"/>
          <w:lang w:val="es-ES"/>
        </w:rPr>
        <w:t>.</w:t>
      </w:r>
      <w:r w:rsidR="00A86758">
        <w:rPr>
          <w:rFonts w:ascii="Verdana" w:hAnsi="Verdana"/>
          <w:lang w:val="es-ES"/>
        </w:rPr>
        <w:t xml:space="preserve"> </w:t>
      </w:r>
    </w:p>
    <w:p w14:paraId="4D070982" w14:textId="77777777" w:rsidR="003B2FC7" w:rsidRPr="003B2FC7" w:rsidRDefault="003B2FC7" w:rsidP="003B2FC7">
      <w:pPr>
        <w:pStyle w:val="Prrafodelista"/>
        <w:spacing w:line="256" w:lineRule="auto"/>
        <w:jc w:val="both"/>
        <w:rPr>
          <w:rFonts w:ascii="Verdana" w:hAnsi="Verdana"/>
          <w:lang w:val="es-ES"/>
        </w:rPr>
      </w:pPr>
    </w:p>
    <w:p w14:paraId="79EE8B2C" w14:textId="2204A7B4" w:rsidR="003B2FC7" w:rsidRPr="003B2FC7" w:rsidRDefault="003B2FC7" w:rsidP="003B2FC7">
      <w:pPr>
        <w:pStyle w:val="Prrafodelista"/>
        <w:spacing w:line="256" w:lineRule="auto"/>
        <w:jc w:val="both"/>
        <w:rPr>
          <w:rFonts w:ascii="Verdana" w:hAnsi="Verdana"/>
          <w:lang w:val="es-ES"/>
        </w:rPr>
      </w:pPr>
      <w:r w:rsidRPr="003B2FC7">
        <w:rPr>
          <w:rFonts w:ascii="Verdana" w:hAnsi="Verdana"/>
          <w:lang w:val="es-ES"/>
        </w:rPr>
        <w:t>Las preguntas registradas en los diferentes canales de atención de la Superintendencia de la Economía Solidaria fueron las siguientes:</w:t>
      </w:r>
    </w:p>
    <w:p w14:paraId="1EEE5953" w14:textId="77777777" w:rsidR="003B2FC7" w:rsidRPr="003B2FC7" w:rsidRDefault="003B2FC7" w:rsidP="003B2FC7">
      <w:pPr>
        <w:pStyle w:val="Prrafodelista"/>
        <w:spacing w:line="256" w:lineRule="auto"/>
        <w:jc w:val="both"/>
        <w:rPr>
          <w:rFonts w:ascii="Verdana" w:hAnsi="Verdana"/>
          <w:b/>
          <w:bCs/>
          <w:lang w:val="es-ES"/>
        </w:rPr>
      </w:pPr>
    </w:p>
    <w:p w14:paraId="416A58C7" w14:textId="31BD23C0" w:rsidR="00E53A04" w:rsidRPr="00675A0E" w:rsidRDefault="00E53A04" w:rsidP="00E53A04">
      <w:pPr>
        <w:pStyle w:val="Prrafodelista"/>
        <w:numPr>
          <w:ilvl w:val="0"/>
          <w:numId w:val="30"/>
        </w:numPr>
        <w:spacing w:line="256" w:lineRule="auto"/>
        <w:jc w:val="both"/>
        <w:rPr>
          <w:rFonts w:ascii="Verdana" w:hAnsi="Verdana"/>
          <w:b/>
          <w:bCs/>
          <w:lang w:val="es-ES"/>
        </w:rPr>
      </w:pPr>
      <w:r w:rsidRPr="002F2DB3">
        <w:rPr>
          <w:rFonts w:ascii="Verdana" w:hAnsi="Verdana"/>
          <w:b/>
          <w:bCs/>
        </w:rPr>
        <w:t xml:space="preserve">¿Es posible un cubrimiento total de cooperativas en todo el país? </w:t>
      </w:r>
    </w:p>
    <w:p w14:paraId="247CCD69" w14:textId="62E10910" w:rsidR="00675A0E" w:rsidRDefault="00675A0E" w:rsidP="00675A0E">
      <w:pPr>
        <w:pStyle w:val="Prrafodelista"/>
        <w:spacing w:line="256" w:lineRule="auto"/>
        <w:jc w:val="both"/>
        <w:rPr>
          <w:rFonts w:ascii="Verdana" w:hAnsi="Verdana"/>
          <w:b/>
          <w:bCs/>
        </w:rPr>
      </w:pPr>
    </w:p>
    <w:p w14:paraId="02E65B7E" w14:textId="77777777" w:rsidR="00675A0E" w:rsidRDefault="00675A0E" w:rsidP="00675A0E">
      <w:pPr>
        <w:spacing w:line="254" w:lineRule="auto"/>
        <w:ind w:left="360"/>
        <w:jc w:val="both"/>
        <w:rPr>
          <w:rFonts w:ascii="Verdana" w:hAnsi="Verdana"/>
          <w:lang w:val="es-ES"/>
        </w:rPr>
      </w:pPr>
      <w:r>
        <w:rPr>
          <w:rFonts w:ascii="Verdana" w:hAnsi="Verdana"/>
          <w:lang w:val="es-ES"/>
        </w:rPr>
        <w:t xml:space="preserve">Es posible el cubrimiento de cooperativas y demás formas asociativas solidarias en todo el territorio colombiano, teniendo como base la ampliación tecnológica que viene presentando el sector, en aras de adaptar su oferta de servicios a las necesidades de la población, en este caso, de los asociados a cooperativas, fondos de empleados, asociaciones mutualistas y demás empresas de la economía solidaria. </w:t>
      </w:r>
    </w:p>
    <w:p w14:paraId="5A50957D" w14:textId="77777777" w:rsidR="00675A0E" w:rsidRDefault="00675A0E" w:rsidP="00675A0E">
      <w:pPr>
        <w:spacing w:line="254" w:lineRule="auto"/>
        <w:ind w:left="360"/>
        <w:jc w:val="both"/>
        <w:rPr>
          <w:rFonts w:ascii="Verdana" w:hAnsi="Verdana"/>
          <w:lang w:val="es-ES"/>
        </w:rPr>
      </w:pPr>
      <w:r>
        <w:rPr>
          <w:rFonts w:ascii="Verdana" w:hAnsi="Verdana"/>
          <w:lang w:val="es-ES"/>
        </w:rPr>
        <w:t xml:space="preserve">En este sentido, desde la Superintendencia de la Economía Solidaria se viene adelantando la promoción de transformaciones de las empresas de la economía solidaria, con el fin de garantizar el crecimiento de las mismas y como consecuencia directa de ello, una expansión de la operación de estas en el país. </w:t>
      </w:r>
    </w:p>
    <w:p w14:paraId="6083B666" w14:textId="77777777" w:rsidR="00675A0E" w:rsidRDefault="00675A0E" w:rsidP="00675A0E">
      <w:pPr>
        <w:spacing w:line="254" w:lineRule="auto"/>
        <w:ind w:left="360"/>
        <w:jc w:val="both"/>
        <w:rPr>
          <w:rFonts w:ascii="Verdana" w:hAnsi="Verdana"/>
          <w:lang w:val="es-ES"/>
        </w:rPr>
      </w:pPr>
      <w:r>
        <w:rPr>
          <w:rFonts w:ascii="Verdana" w:hAnsi="Verdana"/>
          <w:lang w:val="es-ES"/>
        </w:rPr>
        <w:t xml:space="preserve">Así, se adjunta la siguiente radiografía del sector solidario, incluyendo la cantidad de empresas vigiladas, el número de sedes y la distribución de las mismas en los diferentes municipios y departamentos del país: </w:t>
      </w:r>
    </w:p>
    <w:p w14:paraId="37F95DAB" w14:textId="0EE9D8B9" w:rsidR="00675A0E" w:rsidRDefault="00675A0E" w:rsidP="00675A0E">
      <w:pPr>
        <w:spacing w:line="254" w:lineRule="auto"/>
        <w:ind w:left="360"/>
        <w:jc w:val="center"/>
        <w:rPr>
          <w:rFonts w:ascii="Verdana" w:hAnsi="Verdana"/>
          <w:lang w:val="es-ES"/>
        </w:rPr>
      </w:pPr>
      <w:r>
        <w:rPr>
          <w:rFonts w:ascii="Verdana" w:hAnsi="Verdana"/>
          <w:noProof/>
          <w:lang w:val="es-ES"/>
        </w:rPr>
        <w:lastRenderedPageBreak/>
        <w:drawing>
          <wp:inline distT="0" distB="0" distL="0" distR="0" wp14:anchorId="56908FB8" wp14:editId="1A0D6509">
            <wp:extent cx="4591050" cy="38862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886200"/>
                    </a:xfrm>
                    <a:prstGeom prst="rect">
                      <a:avLst/>
                    </a:prstGeom>
                    <a:noFill/>
                    <a:ln w="19050" cmpd="sng">
                      <a:solidFill>
                        <a:srgbClr val="000000"/>
                      </a:solidFill>
                      <a:miter lim="800000"/>
                      <a:headEnd/>
                      <a:tailEnd/>
                    </a:ln>
                    <a:effectLst/>
                  </pic:spPr>
                </pic:pic>
              </a:graphicData>
            </a:graphic>
          </wp:inline>
        </w:drawing>
      </w:r>
    </w:p>
    <w:p w14:paraId="748B3133" w14:textId="77777777" w:rsidR="00675A0E" w:rsidRDefault="00675A0E" w:rsidP="00675A0E">
      <w:pPr>
        <w:pStyle w:val="Prrafodelista"/>
        <w:jc w:val="both"/>
        <w:rPr>
          <w:rFonts w:ascii="Verdana" w:hAnsi="Verdana"/>
          <w:b/>
          <w:bCs/>
          <w:lang w:val="es-ES"/>
        </w:rPr>
      </w:pPr>
    </w:p>
    <w:p w14:paraId="6E25956F" w14:textId="77777777" w:rsidR="00675A0E" w:rsidRPr="002F2DB3" w:rsidRDefault="00675A0E" w:rsidP="00675A0E">
      <w:pPr>
        <w:pStyle w:val="Prrafodelista"/>
        <w:spacing w:line="256" w:lineRule="auto"/>
        <w:jc w:val="both"/>
        <w:rPr>
          <w:rFonts w:ascii="Verdana" w:hAnsi="Verdana"/>
          <w:b/>
          <w:bCs/>
          <w:lang w:val="es-ES"/>
        </w:rPr>
      </w:pPr>
    </w:p>
    <w:p w14:paraId="27DC90CD" w14:textId="7479DCEB" w:rsidR="00E53A04" w:rsidRDefault="00E53A04" w:rsidP="00E53A04">
      <w:pPr>
        <w:pStyle w:val="Prrafodelista"/>
        <w:jc w:val="both"/>
        <w:rPr>
          <w:rFonts w:ascii="Verdana" w:hAnsi="Verdana"/>
          <w:b/>
          <w:bCs/>
          <w:lang w:val="es-ES"/>
        </w:rPr>
      </w:pPr>
    </w:p>
    <w:p w14:paraId="46CE87FC" w14:textId="7BBE7D16" w:rsidR="00B63B15" w:rsidRPr="00675A0E" w:rsidRDefault="00E53A04" w:rsidP="002F2DB3">
      <w:pPr>
        <w:pStyle w:val="Prrafodelista"/>
        <w:numPr>
          <w:ilvl w:val="0"/>
          <w:numId w:val="30"/>
        </w:numPr>
        <w:spacing w:line="256" w:lineRule="auto"/>
        <w:jc w:val="both"/>
        <w:rPr>
          <w:rFonts w:ascii="Verdana" w:hAnsi="Verdana"/>
          <w:b/>
          <w:bCs/>
          <w:lang w:val="es-ES"/>
        </w:rPr>
      </w:pPr>
      <w:r w:rsidRPr="002F2DB3">
        <w:rPr>
          <w:rFonts w:ascii="Verdana" w:hAnsi="Verdana"/>
          <w:b/>
          <w:bCs/>
        </w:rPr>
        <w:t>¿Qué puede estar retrasando el ingreso de cooperativas a los otros 350 municipios</w:t>
      </w:r>
    </w:p>
    <w:p w14:paraId="41D82C82" w14:textId="680A3D87" w:rsidR="00675A0E" w:rsidRPr="00675A0E" w:rsidRDefault="00675A0E" w:rsidP="00675A0E">
      <w:pPr>
        <w:pStyle w:val="Prrafodelista"/>
        <w:spacing w:line="254" w:lineRule="auto"/>
        <w:jc w:val="both"/>
        <w:rPr>
          <w:rFonts w:ascii="Verdana" w:hAnsi="Verdana"/>
          <w:lang w:val="es-ES"/>
        </w:rPr>
      </w:pPr>
      <w:r w:rsidRPr="00675A0E">
        <w:rPr>
          <w:rFonts w:ascii="Verdana" w:hAnsi="Verdana"/>
          <w:lang w:val="es-ES"/>
        </w:rPr>
        <w:t xml:space="preserve">Se han identificado diferentes factores que inciden en el ingreso/presencia física de las empresas solidarias supervisadas – ESS por esta Superintendencia a la totalidad de municipios del país; encontrándose entre ellos, brechas de conectividad, seguridad y capacidades de las ESS para garantizar su presencia física en todo el territorio. </w:t>
      </w:r>
    </w:p>
    <w:p w14:paraId="21DD6739" w14:textId="77777777" w:rsidR="00675A0E" w:rsidRDefault="00675A0E" w:rsidP="00675A0E">
      <w:pPr>
        <w:pStyle w:val="Prrafodelista"/>
        <w:spacing w:line="254" w:lineRule="auto"/>
        <w:jc w:val="both"/>
        <w:rPr>
          <w:rFonts w:ascii="Verdana" w:hAnsi="Verdana"/>
          <w:lang w:val="es-ES"/>
        </w:rPr>
      </w:pPr>
    </w:p>
    <w:p w14:paraId="70094081" w14:textId="6BE75B7A" w:rsidR="00675A0E" w:rsidRPr="00675A0E" w:rsidRDefault="00675A0E" w:rsidP="00675A0E">
      <w:pPr>
        <w:pStyle w:val="Prrafodelista"/>
        <w:spacing w:line="254" w:lineRule="auto"/>
        <w:jc w:val="both"/>
        <w:rPr>
          <w:rFonts w:ascii="Verdana" w:hAnsi="Verdana"/>
          <w:lang w:val="es-ES"/>
        </w:rPr>
      </w:pPr>
      <w:r w:rsidRPr="00675A0E">
        <w:rPr>
          <w:rFonts w:ascii="Verdana" w:hAnsi="Verdana"/>
          <w:lang w:val="es-ES"/>
        </w:rPr>
        <w:t>No obstante, cabe precisar que la operación de las ESS en el país no se encuentra limitada por la presencia de sedes físicas; comoquiera que a través de diversas plataformas tecnológicas -especialmente utilizadas por las Cooperativas de Ahorro y Crédito (</w:t>
      </w:r>
      <w:proofErr w:type="spellStart"/>
      <w:r w:rsidRPr="00675A0E">
        <w:rPr>
          <w:rFonts w:ascii="Verdana" w:hAnsi="Verdana"/>
          <w:lang w:val="es-ES"/>
        </w:rPr>
        <w:t>CAC’s</w:t>
      </w:r>
      <w:proofErr w:type="spellEnd"/>
      <w:r w:rsidRPr="00675A0E">
        <w:rPr>
          <w:rFonts w:ascii="Verdana" w:hAnsi="Verdana"/>
          <w:lang w:val="es-ES"/>
        </w:rPr>
        <w:t xml:space="preserve">)- se ha logrado </w:t>
      </w:r>
      <w:r w:rsidRPr="00675A0E">
        <w:rPr>
          <w:rFonts w:ascii="Verdana" w:hAnsi="Verdana"/>
          <w:lang w:val="es-ES"/>
        </w:rPr>
        <w:lastRenderedPageBreak/>
        <w:t>mantener una operación a nivel nacional con los y las asociadas, reconociendo en todo caso que resulta necesario continuar el seguimiento y promoción de dichas herramientas tecnológicas entre las ESS con el objeto de contar con una mayor cobertura a la población colombiana desde el sector solidario.</w:t>
      </w:r>
    </w:p>
    <w:p w14:paraId="03A5CDC8" w14:textId="54B7CA6E" w:rsidR="00E53A04" w:rsidRDefault="00E53A04" w:rsidP="00E53A04">
      <w:pPr>
        <w:pStyle w:val="Prrafodelista"/>
        <w:jc w:val="both"/>
        <w:rPr>
          <w:rFonts w:ascii="Verdana" w:hAnsi="Verdana"/>
          <w:b/>
          <w:bCs/>
          <w:lang w:val="es-ES"/>
        </w:rPr>
      </w:pPr>
    </w:p>
    <w:p w14:paraId="08A6EF42" w14:textId="5E34C11B" w:rsidR="00E53A04" w:rsidRPr="00A86758" w:rsidRDefault="00E53A04" w:rsidP="00123268">
      <w:pPr>
        <w:pStyle w:val="Prrafodelista"/>
        <w:numPr>
          <w:ilvl w:val="0"/>
          <w:numId w:val="30"/>
        </w:numPr>
        <w:spacing w:line="256" w:lineRule="auto"/>
        <w:jc w:val="both"/>
        <w:rPr>
          <w:rFonts w:ascii="Verdana" w:hAnsi="Verdana"/>
          <w:b/>
          <w:bCs/>
          <w:lang w:val="es-ES"/>
        </w:rPr>
      </w:pPr>
      <w:r w:rsidRPr="00A86758">
        <w:rPr>
          <w:rFonts w:ascii="Verdana" w:hAnsi="Verdana"/>
          <w:b/>
          <w:bCs/>
        </w:rPr>
        <w:t xml:space="preserve">¿Qué hacer como asociado cuando se sospeche de alguna irregularidad en su cooperativa? </w:t>
      </w:r>
    </w:p>
    <w:p w14:paraId="2EDCDEE9" w14:textId="33B40A3C" w:rsidR="00D2248C" w:rsidRPr="00275F3A" w:rsidRDefault="00D64874" w:rsidP="00275F3A">
      <w:pPr>
        <w:jc w:val="both"/>
        <w:rPr>
          <w:rFonts w:ascii="Arial" w:hAnsi="Arial" w:cs="Arial"/>
          <w:sz w:val="25"/>
          <w:szCs w:val="25"/>
          <w:shd w:val="clear" w:color="auto" w:fill="FFFFFF"/>
        </w:rPr>
      </w:pPr>
      <w:r w:rsidRPr="00275F3A">
        <w:rPr>
          <w:rFonts w:ascii="Verdana" w:hAnsi="Verdana"/>
          <w:lang w:val="es-ES"/>
        </w:rPr>
        <w:t>Si un asociado evidencia irregularidades en su cooperativa, puede ejercer su</w:t>
      </w:r>
      <w:r w:rsidR="00B42580" w:rsidRPr="00275F3A">
        <w:rPr>
          <w:rFonts w:ascii="Verdana" w:hAnsi="Verdana"/>
          <w:lang w:val="es-ES"/>
        </w:rPr>
        <w:t>s</w:t>
      </w:r>
      <w:r w:rsidRPr="00275F3A">
        <w:rPr>
          <w:rFonts w:ascii="Verdana" w:hAnsi="Verdana"/>
          <w:lang w:val="es-ES"/>
        </w:rPr>
        <w:t xml:space="preserve"> derecho</w:t>
      </w:r>
      <w:r w:rsidR="00261B4E" w:rsidRPr="00275F3A">
        <w:rPr>
          <w:rFonts w:ascii="Verdana" w:hAnsi="Verdana"/>
          <w:lang w:val="es-ES"/>
        </w:rPr>
        <w:t>s de inspección y de</w:t>
      </w:r>
      <w:r w:rsidRPr="00275F3A">
        <w:rPr>
          <w:rFonts w:ascii="Verdana" w:hAnsi="Verdana"/>
          <w:lang w:val="es-ES"/>
        </w:rPr>
        <w:t xml:space="preserve"> fiscalización</w:t>
      </w:r>
      <w:r w:rsidR="00261B4E" w:rsidRPr="00275F3A">
        <w:rPr>
          <w:rFonts w:ascii="Verdana" w:hAnsi="Verdana"/>
          <w:lang w:val="es-ES"/>
        </w:rPr>
        <w:t xml:space="preserve"> ante la entidad, en los tiempos y límites señalados por la ley, para esto pueden consultar la Guía de Derechos de los Asociados y protección del consumidor solidario. Por otro lado, pueden poner la queja directamente ante la Junta de Vigilancia, la cual se encuentra en la obligación de darle una respuesta sobre el tema que se ponga en su conocimiento.</w:t>
      </w:r>
      <w:r w:rsidRPr="00275F3A">
        <w:rPr>
          <w:rFonts w:ascii="Verdana" w:hAnsi="Verdana"/>
          <w:lang w:val="es-ES"/>
        </w:rPr>
        <w:t xml:space="preserve"> </w:t>
      </w:r>
      <w:r w:rsidR="00261B4E" w:rsidRPr="00275F3A">
        <w:rPr>
          <w:rFonts w:ascii="Verdana" w:hAnsi="Verdana"/>
          <w:lang w:val="es-ES"/>
        </w:rPr>
        <w:t>Así mismo, también puede reportar</w:t>
      </w:r>
      <w:r w:rsidRPr="00275F3A">
        <w:rPr>
          <w:rFonts w:ascii="Verdana" w:hAnsi="Verdana"/>
          <w:lang w:val="es-ES"/>
        </w:rPr>
        <w:t xml:space="preserve"> el caso ante la Superintendencia de Economía Solidaria. El procedimiento consiste en radicar una PQRSDF explicando las inconsistencias observadas mediante los canales de atención autorizados</w:t>
      </w:r>
      <w:r w:rsidR="00D2248C" w:rsidRPr="00275F3A">
        <w:rPr>
          <w:rFonts w:ascii="Arial" w:hAnsi="Arial" w:cs="Arial"/>
          <w:sz w:val="25"/>
          <w:szCs w:val="25"/>
          <w:shd w:val="clear" w:color="auto" w:fill="FFFFFF"/>
        </w:rPr>
        <w:t xml:space="preserve">: </w:t>
      </w:r>
    </w:p>
    <w:p w14:paraId="029DEF56" w14:textId="77777777" w:rsidR="00D2248C" w:rsidRDefault="00D2248C" w:rsidP="00D2248C">
      <w:pPr>
        <w:pStyle w:val="Prrafodelista"/>
        <w:jc w:val="both"/>
        <w:rPr>
          <w:rFonts w:ascii="Verdana" w:hAnsi="Verdana"/>
          <w:lang w:val="es-ES"/>
        </w:rPr>
      </w:pPr>
    </w:p>
    <w:p w14:paraId="263D3F1D" w14:textId="18E3F318" w:rsidR="00D2248C" w:rsidRDefault="00D2248C" w:rsidP="00D64874">
      <w:pPr>
        <w:pStyle w:val="Prrafodelista"/>
        <w:numPr>
          <w:ilvl w:val="1"/>
          <w:numId w:val="30"/>
        </w:numPr>
        <w:jc w:val="both"/>
        <w:rPr>
          <w:rFonts w:ascii="Verdana" w:hAnsi="Verdana"/>
          <w:lang w:val="es-ES"/>
        </w:rPr>
      </w:pPr>
      <w:r w:rsidRPr="00D2248C">
        <w:rPr>
          <w:rFonts w:ascii="Verdana" w:hAnsi="Verdana"/>
          <w:lang w:val="es-ES"/>
        </w:rPr>
        <w:t>PBX (+57) (601) 7560557</w:t>
      </w:r>
      <w:r>
        <w:rPr>
          <w:rFonts w:ascii="Verdana" w:hAnsi="Verdana"/>
          <w:lang w:val="es-ES"/>
        </w:rPr>
        <w:t xml:space="preserve"> </w:t>
      </w:r>
      <w:r w:rsidRPr="00D2248C">
        <w:rPr>
          <w:rFonts w:ascii="Verdana" w:hAnsi="Verdana"/>
          <w:lang w:val="es-ES"/>
        </w:rPr>
        <w:t>A la línea gratuita 018000 180 430</w:t>
      </w:r>
    </w:p>
    <w:p w14:paraId="382E6964" w14:textId="039A01E7" w:rsidR="00D2248C" w:rsidRDefault="006A70A9" w:rsidP="00D64874">
      <w:pPr>
        <w:pStyle w:val="Prrafodelista"/>
        <w:numPr>
          <w:ilvl w:val="1"/>
          <w:numId w:val="30"/>
        </w:numPr>
        <w:jc w:val="both"/>
        <w:rPr>
          <w:rFonts w:ascii="Verdana" w:hAnsi="Verdana"/>
          <w:lang w:val="es-ES"/>
        </w:rPr>
      </w:pPr>
      <w:hyperlink r:id="rId11" w:history="1">
        <w:r w:rsidR="00D2248C" w:rsidRPr="00B036EA">
          <w:rPr>
            <w:rStyle w:val="Hipervnculo"/>
            <w:rFonts w:ascii="Verdana" w:hAnsi="Verdana"/>
            <w:lang w:val="es-ES"/>
          </w:rPr>
          <w:t>atencionalciudadano@supersolidaria.gov.co</w:t>
        </w:r>
      </w:hyperlink>
    </w:p>
    <w:p w14:paraId="63526581" w14:textId="61E2FF4F" w:rsidR="00D2248C" w:rsidRDefault="006A70A9" w:rsidP="00D64874">
      <w:pPr>
        <w:pStyle w:val="Prrafodelista"/>
        <w:numPr>
          <w:ilvl w:val="1"/>
          <w:numId w:val="30"/>
        </w:numPr>
        <w:jc w:val="both"/>
        <w:rPr>
          <w:rFonts w:ascii="Verdana" w:hAnsi="Verdana"/>
          <w:lang w:val="es-ES"/>
        </w:rPr>
      </w:pPr>
      <w:hyperlink r:id="rId12" w:history="1">
        <w:r w:rsidR="00D2248C" w:rsidRPr="00B036EA">
          <w:rPr>
            <w:rStyle w:val="Hipervnculo"/>
            <w:rFonts w:ascii="Verdana" w:hAnsi="Verdana"/>
            <w:lang w:val="es-ES"/>
          </w:rPr>
          <w:t>denunciasporcorrupcion@supersolidaria.gov.co</w:t>
        </w:r>
      </w:hyperlink>
    </w:p>
    <w:p w14:paraId="7D9E7518" w14:textId="6B8FC7D4" w:rsidR="00D2248C" w:rsidRDefault="00D2248C" w:rsidP="00D2248C">
      <w:pPr>
        <w:pStyle w:val="Prrafodelista"/>
        <w:jc w:val="both"/>
        <w:rPr>
          <w:rFonts w:ascii="Verdana" w:hAnsi="Verdana"/>
          <w:lang w:val="es-ES"/>
        </w:rPr>
      </w:pPr>
    </w:p>
    <w:p w14:paraId="646A213C" w14:textId="1823B150" w:rsidR="00D2248C" w:rsidRPr="00275F3A" w:rsidRDefault="00D64874" w:rsidP="00275F3A">
      <w:pPr>
        <w:jc w:val="both"/>
        <w:rPr>
          <w:rFonts w:ascii="Verdana" w:hAnsi="Verdana"/>
          <w:b/>
          <w:bCs/>
          <w:lang w:val="es-ES"/>
        </w:rPr>
      </w:pPr>
      <w:r w:rsidRPr="00275F3A">
        <w:rPr>
          <w:rFonts w:ascii="Verdana" w:hAnsi="Verdana"/>
          <w:lang w:val="es-ES"/>
        </w:rPr>
        <w:t xml:space="preserve">Igualmente podrá acudir presencialmente a la sede de la Supersolidaria en la Avenida Calle 24 (Esperanza) </w:t>
      </w:r>
      <w:proofErr w:type="spellStart"/>
      <w:r w:rsidRPr="00275F3A">
        <w:rPr>
          <w:rFonts w:ascii="Verdana" w:hAnsi="Verdana"/>
          <w:lang w:val="es-ES"/>
        </w:rPr>
        <w:t>N°</w:t>
      </w:r>
      <w:proofErr w:type="spellEnd"/>
      <w:r w:rsidRPr="00275F3A">
        <w:rPr>
          <w:rFonts w:ascii="Verdana" w:hAnsi="Verdana"/>
          <w:lang w:val="es-ES"/>
        </w:rPr>
        <w:t xml:space="preserve"> 60 - 50, Piso 8, Centro Empresarial Gran Estación. Allí, el Grupo de Relacionamiento con la Ciudadanía brindará el apoyo funcional y técnico necesario en jornada continua, de lunes a viernes, de 8:30 a.m. a 4:30 p.m.</w:t>
      </w:r>
    </w:p>
    <w:p w14:paraId="0324C691" w14:textId="249ED879" w:rsidR="00D2248C" w:rsidRPr="000743C5" w:rsidRDefault="00D2248C" w:rsidP="00E53A04">
      <w:pPr>
        <w:pStyle w:val="Prrafodelista"/>
        <w:jc w:val="both"/>
        <w:rPr>
          <w:rFonts w:ascii="Verdana" w:hAnsi="Verdana"/>
          <w:b/>
          <w:bCs/>
          <w:lang w:val="es-ES"/>
        </w:rPr>
      </w:pPr>
    </w:p>
    <w:p w14:paraId="073572A0" w14:textId="189CAF1E" w:rsidR="00E53A04" w:rsidRPr="002F2DB3"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¿Cómo esta Supersolidaria en toda la gestión ante otras entidades?  </w:t>
      </w:r>
    </w:p>
    <w:p w14:paraId="37BC858F" w14:textId="77777777" w:rsidR="002F2DB3" w:rsidRDefault="002F2DB3" w:rsidP="002F2DB3">
      <w:pPr>
        <w:pStyle w:val="Prrafodelista"/>
        <w:spacing w:line="256" w:lineRule="auto"/>
        <w:jc w:val="both"/>
        <w:rPr>
          <w:rFonts w:ascii="Verdana" w:hAnsi="Verdana"/>
        </w:rPr>
      </w:pPr>
    </w:p>
    <w:p w14:paraId="1427137B" w14:textId="77777777" w:rsidR="002F2DB3" w:rsidRPr="00275F3A" w:rsidRDefault="002F2DB3" w:rsidP="00275F3A">
      <w:pPr>
        <w:jc w:val="both"/>
        <w:rPr>
          <w:rFonts w:ascii="Verdana" w:hAnsi="Verdana"/>
          <w:lang w:val="es-ES"/>
        </w:rPr>
      </w:pPr>
      <w:r w:rsidRPr="00275F3A">
        <w:rPr>
          <w:rFonts w:ascii="Verdana" w:hAnsi="Verdana"/>
          <w:lang w:val="es-ES"/>
        </w:rPr>
        <w:lastRenderedPageBreak/>
        <w:t>En respuesta a la inquietud ciudadana sobre la gestión de la</w:t>
      </w:r>
    </w:p>
    <w:p w14:paraId="6D17BC15" w14:textId="7576A9E7" w:rsidR="002F2DB3" w:rsidRPr="00275F3A" w:rsidRDefault="002F2DB3" w:rsidP="00275F3A">
      <w:pPr>
        <w:jc w:val="both"/>
        <w:rPr>
          <w:rFonts w:ascii="Verdana" w:hAnsi="Verdana"/>
          <w:lang w:val="es-ES"/>
        </w:rPr>
      </w:pPr>
      <w:r w:rsidRPr="00275F3A">
        <w:rPr>
          <w:rFonts w:ascii="Verdana" w:hAnsi="Verdana"/>
          <w:lang w:val="es-ES"/>
        </w:rPr>
        <w:t>Superintendencia de la Economía Solidaria frente a las demás entidades, se toma como referencia la medición oficial del desempeño institucional,</w:t>
      </w:r>
    </w:p>
    <w:p w14:paraId="77CBB3BA" w14:textId="25AD45B1" w:rsidR="002F2DB3" w:rsidRPr="00275F3A" w:rsidRDefault="002F2DB3" w:rsidP="00275F3A">
      <w:pPr>
        <w:jc w:val="both"/>
        <w:rPr>
          <w:rFonts w:ascii="Verdana" w:hAnsi="Verdana"/>
          <w:lang w:val="es-ES"/>
        </w:rPr>
      </w:pPr>
      <w:r w:rsidRPr="00275F3A">
        <w:rPr>
          <w:rFonts w:ascii="Verdana" w:hAnsi="Verdana"/>
          <w:lang w:val="es-ES"/>
        </w:rPr>
        <w:t>conocida como FURAG 2024 (Formulario Único de Reporte de Avance a la Gestión) y que se encuentra publicada en el micrositio de Función Pública para el conocimiento ciudadano.</w:t>
      </w:r>
    </w:p>
    <w:p w14:paraId="20A2152A" w14:textId="1BC57B65" w:rsidR="002F2DB3" w:rsidRPr="00275F3A" w:rsidRDefault="002F2DB3" w:rsidP="00275F3A">
      <w:pPr>
        <w:jc w:val="both"/>
        <w:rPr>
          <w:rFonts w:ascii="Verdana" w:hAnsi="Verdana"/>
          <w:lang w:val="es-ES"/>
        </w:rPr>
      </w:pPr>
      <w:r w:rsidRPr="00275F3A">
        <w:rPr>
          <w:rFonts w:ascii="Verdana" w:hAnsi="Verdana"/>
          <w:lang w:val="es-ES"/>
        </w:rPr>
        <w:t>Con el propósito de ofrecer un análisis específico, se comparan los resultados de la Supersolidaria frente al comportamiento general del Sector Hacienda. En principio, los resultados de las entidades adscritas y vinculadas al Ministerio de Hacienda indican que el desempeño promedio del sector es de 86,9 puntos. En dicha medición, la Superintendencia de la Economía Solidaria obtuvo un resultado general de 80,41 puntos. Cabe resaltar que, la entidad ha demostrado una alta gestión en políticas institucionales, tales como Planeación Institucional, Gobierno Digital, Seguridad Digital, Defensa Jurídica, Mejora Normativa, Transparencia y Acceso a la Información, y Control Interno.</w:t>
      </w:r>
    </w:p>
    <w:p w14:paraId="68AC5F21" w14:textId="54635D2E" w:rsidR="002F2DB3" w:rsidRPr="00275F3A" w:rsidRDefault="002F2DB3" w:rsidP="00275F3A">
      <w:pPr>
        <w:jc w:val="both"/>
        <w:rPr>
          <w:rFonts w:ascii="Verdana" w:hAnsi="Verdana"/>
          <w:lang w:val="es-ES"/>
        </w:rPr>
      </w:pPr>
      <w:r w:rsidRPr="00275F3A">
        <w:rPr>
          <w:rFonts w:ascii="Verdana" w:hAnsi="Verdana"/>
          <w:lang w:val="es-ES"/>
        </w:rPr>
        <w:t>Por otro lado, los indicadores señalan la necesidad de fortalecer la gestión de los datos y la innovación. Políticas como Gestión de la Información Estadística, Gestión del Conocimiento y la Innovación presentan puntajes bajos, impactando el promedio general.</w:t>
      </w:r>
    </w:p>
    <w:p w14:paraId="02FA9710" w14:textId="77777777" w:rsidR="002F2DB3" w:rsidRPr="00275F3A" w:rsidRDefault="002F2DB3" w:rsidP="00275F3A">
      <w:pPr>
        <w:jc w:val="both"/>
        <w:rPr>
          <w:rFonts w:ascii="Verdana" w:hAnsi="Verdana"/>
          <w:lang w:val="es-ES"/>
        </w:rPr>
      </w:pPr>
    </w:p>
    <w:p w14:paraId="287B07B8" w14:textId="6DA68BB8" w:rsidR="00E53A04" w:rsidRPr="00275F3A" w:rsidRDefault="002F2DB3" w:rsidP="00275F3A">
      <w:pPr>
        <w:jc w:val="both"/>
        <w:rPr>
          <w:rFonts w:ascii="Verdana" w:hAnsi="Verdana"/>
          <w:lang w:val="es-ES"/>
        </w:rPr>
      </w:pPr>
      <w:r w:rsidRPr="00275F3A">
        <w:rPr>
          <w:rFonts w:ascii="Verdana" w:hAnsi="Verdana"/>
          <w:lang w:val="es-ES"/>
        </w:rPr>
        <w:t>Por lo anterior y con base en los resultados del FURAG, se informa que la Supersolidaria ha desplegado un Plan de Cierre de Brechas, como estrategia para elevar los índices en todas políticas y alinear el desempeño institucional con los estándares del Sector de Hacienda en las próximas mediciones.</w:t>
      </w:r>
    </w:p>
    <w:p w14:paraId="294B010A" w14:textId="77777777" w:rsidR="002F2DB3" w:rsidRPr="002F2DB3" w:rsidRDefault="002F2DB3" w:rsidP="002F2DB3">
      <w:pPr>
        <w:pStyle w:val="Prrafodelista"/>
        <w:jc w:val="both"/>
        <w:rPr>
          <w:rFonts w:ascii="Verdana" w:hAnsi="Verdana"/>
        </w:rPr>
      </w:pPr>
    </w:p>
    <w:p w14:paraId="7081CF6C" w14:textId="77777777" w:rsidR="00675A0E" w:rsidRPr="00675A0E" w:rsidRDefault="00E53A04" w:rsidP="00675A0E">
      <w:pPr>
        <w:pStyle w:val="Prrafodelista"/>
        <w:numPr>
          <w:ilvl w:val="0"/>
          <w:numId w:val="30"/>
        </w:numPr>
        <w:spacing w:line="256" w:lineRule="auto"/>
        <w:jc w:val="both"/>
        <w:rPr>
          <w:rFonts w:ascii="Verdana" w:hAnsi="Verdana"/>
          <w:b/>
          <w:bCs/>
        </w:rPr>
      </w:pPr>
      <w:r w:rsidRPr="00675A0E">
        <w:rPr>
          <w:rFonts w:ascii="Verdana" w:hAnsi="Verdana"/>
          <w:b/>
          <w:bCs/>
        </w:rPr>
        <w:t xml:space="preserve">¿Cómo se puede superar la coyuntura de la no afiliación de personas jóvenes a las cooperativas? </w:t>
      </w:r>
    </w:p>
    <w:p w14:paraId="63D55270" w14:textId="77777777" w:rsidR="00675A0E" w:rsidRDefault="00675A0E" w:rsidP="00675A0E">
      <w:pPr>
        <w:pStyle w:val="Prrafodelista"/>
        <w:spacing w:line="256" w:lineRule="auto"/>
        <w:jc w:val="both"/>
        <w:rPr>
          <w:rFonts w:ascii="Verdana" w:hAnsi="Verdana"/>
          <w:b/>
          <w:bCs/>
        </w:rPr>
      </w:pPr>
    </w:p>
    <w:p w14:paraId="7F006DC1" w14:textId="3EFF510E" w:rsidR="00675A0E" w:rsidRPr="00675A0E" w:rsidRDefault="00675A0E" w:rsidP="00675A0E">
      <w:pPr>
        <w:spacing w:line="256" w:lineRule="auto"/>
        <w:jc w:val="both"/>
        <w:rPr>
          <w:rFonts w:ascii="Verdana" w:hAnsi="Verdana"/>
        </w:rPr>
      </w:pPr>
      <w:r w:rsidRPr="00675A0E">
        <w:rPr>
          <w:rFonts w:ascii="Verdana" w:hAnsi="Verdana"/>
        </w:rPr>
        <w:t xml:space="preserve">Desde la Superintendencia de la Economía Solidaria se ha venido adelantando la iniciativa de Juventudes Solidarias entre las vigencias 2024 y 2025, la cual </w:t>
      </w:r>
      <w:r w:rsidRPr="00675A0E">
        <w:rPr>
          <w:rFonts w:ascii="Verdana" w:hAnsi="Verdana"/>
        </w:rPr>
        <w:lastRenderedPageBreak/>
        <w:t xml:space="preserve">ha tenido por objetivo socializar, informar e incentivar la participación de los y las jóvenes en el sector solidario, teniendo como base el potencial de este sector para atender necesidades de este grupo poblacional. </w:t>
      </w:r>
    </w:p>
    <w:p w14:paraId="4E7F6FD0" w14:textId="77777777" w:rsidR="00675A0E" w:rsidRDefault="00675A0E" w:rsidP="00675A0E">
      <w:pPr>
        <w:spacing w:line="254" w:lineRule="auto"/>
        <w:jc w:val="both"/>
        <w:rPr>
          <w:rFonts w:ascii="Verdana" w:hAnsi="Verdana"/>
        </w:rPr>
      </w:pPr>
      <w:r>
        <w:rPr>
          <w:rFonts w:ascii="Verdana" w:hAnsi="Verdana"/>
        </w:rPr>
        <w:t>Adicionalmente, desde las empresas solidarias supervisadas – ESS se estima pertinente que las mismas -en el marco de su autonomía y autogestión- realicen una evaluación de la composición de la base social, en aras de encontrar y aplicar estrategias que permitan la renovación y modernización de la misma, a través de la asociación de personas jóvenes.</w:t>
      </w:r>
    </w:p>
    <w:p w14:paraId="659536EF" w14:textId="77777777" w:rsidR="00675A0E" w:rsidRDefault="00675A0E" w:rsidP="00675A0E">
      <w:pPr>
        <w:spacing w:line="254" w:lineRule="auto"/>
        <w:jc w:val="both"/>
        <w:rPr>
          <w:rFonts w:ascii="Verdana" w:hAnsi="Verdana"/>
        </w:rPr>
      </w:pPr>
      <w:r>
        <w:rPr>
          <w:rFonts w:ascii="Verdana" w:hAnsi="Verdana"/>
        </w:rPr>
        <w:t xml:space="preserve">Desde la Superintendencia de la Economía Solidaria se ha venido adelantando la iniciativa de Juventudes Solidarias entre las vigencias 2024 y 2025, la cual ha tenido por objetivo socializar, informar e incentivar la participación de los y las jóvenes en el sector solidario, teniendo como base el potencial de este sector para atender necesidades de este grupo poblacional. </w:t>
      </w:r>
    </w:p>
    <w:p w14:paraId="28695F5E" w14:textId="77777777" w:rsidR="00675A0E" w:rsidRDefault="00675A0E" w:rsidP="00675A0E">
      <w:pPr>
        <w:spacing w:line="254" w:lineRule="auto"/>
        <w:jc w:val="both"/>
        <w:rPr>
          <w:rFonts w:ascii="Verdana" w:hAnsi="Verdana"/>
        </w:rPr>
      </w:pPr>
      <w:r>
        <w:rPr>
          <w:rFonts w:ascii="Verdana" w:hAnsi="Verdana"/>
        </w:rPr>
        <w:t>Adicionalmente, desde las empresas solidarias supervisadas – ESS se estima pertinente que las mismas -en el marco de su autonomía y autogestión- realicen una evaluación de la composición de la base social, en aras de encontrar y aplicar estrategias que permitan la renovación y modernización de la misma, a través de la asociación de personas jóvenes.</w:t>
      </w:r>
    </w:p>
    <w:p w14:paraId="4A12A0FA" w14:textId="77777777" w:rsidR="00675A0E" w:rsidRPr="000743C5" w:rsidRDefault="00675A0E" w:rsidP="00E53A04">
      <w:pPr>
        <w:pStyle w:val="Prrafodelista"/>
        <w:jc w:val="both"/>
        <w:rPr>
          <w:rFonts w:ascii="Verdana" w:hAnsi="Verdana"/>
        </w:rPr>
      </w:pPr>
    </w:p>
    <w:p w14:paraId="0E5CEC1D" w14:textId="5E414C5A" w:rsidR="00FE3BF0" w:rsidRPr="00FE3BF0" w:rsidRDefault="00E53A04" w:rsidP="00496309">
      <w:pPr>
        <w:pStyle w:val="Prrafodelista"/>
        <w:numPr>
          <w:ilvl w:val="0"/>
          <w:numId w:val="30"/>
        </w:numPr>
        <w:spacing w:line="256" w:lineRule="auto"/>
        <w:jc w:val="both"/>
        <w:rPr>
          <w:rFonts w:ascii="Verdana" w:hAnsi="Verdana"/>
          <w:b/>
          <w:bCs/>
        </w:rPr>
      </w:pPr>
      <w:r w:rsidRPr="00FE3BF0">
        <w:rPr>
          <w:rFonts w:ascii="Verdana" w:hAnsi="Verdana"/>
          <w:b/>
          <w:bCs/>
        </w:rPr>
        <w:t xml:space="preserve">¿Cómo proponen mejorar las condiciones de bienestar de los funcionarios de la superintendencia? </w:t>
      </w:r>
    </w:p>
    <w:p w14:paraId="0FCD4678" w14:textId="77777777" w:rsidR="00FE3BF0" w:rsidRPr="00521102" w:rsidRDefault="00FE3BF0" w:rsidP="00FE3BF0">
      <w:pPr>
        <w:spacing w:line="256" w:lineRule="auto"/>
        <w:jc w:val="both"/>
        <w:rPr>
          <w:rFonts w:ascii="Verdana" w:hAnsi="Verdana"/>
        </w:rPr>
      </w:pPr>
      <w:r w:rsidRPr="00521102">
        <w:rPr>
          <w:rFonts w:ascii="Verdana" w:hAnsi="Verdana"/>
        </w:rPr>
        <w:t>Teniendo en cuenta que el fortalecimiento de las condiciones de bienestar impacta positivamente la eficiencia institucional, la permanencia del talento humano y el cumplimiento de los objetivos estratégicos de la entidad, resulta fundamental considerar los diagnósticos de necesidades identificados como insumo para la formulación del Plan de Bienestar correspondiente a la vigencia 2026.</w:t>
      </w:r>
    </w:p>
    <w:p w14:paraId="51151A99" w14:textId="77777777" w:rsidR="00FE3BF0" w:rsidRDefault="00FE3BF0" w:rsidP="00FE3BF0">
      <w:pPr>
        <w:shd w:val="clear" w:color="auto" w:fill="FFFFFF"/>
        <w:spacing w:after="0"/>
        <w:jc w:val="both"/>
        <w:rPr>
          <w:rFonts w:ascii="Verdana" w:eastAsia="Arial" w:hAnsi="Verdana" w:cs="Arial"/>
        </w:rPr>
      </w:pPr>
    </w:p>
    <w:p w14:paraId="31AA317B" w14:textId="77777777" w:rsidR="00FE3BF0" w:rsidRPr="00FC6F93" w:rsidRDefault="00FE3BF0" w:rsidP="00FE3BF0">
      <w:pPr>
        <w:shd w:val="clear" w:color="auto" w:fill="FFFFFF"/>
        <w:spacing w:after="0"/>
        <w:jc w:val="both"/>
        <w:rPr>
          <w:rFonts w:ascii="Verdana" w:eastAsia="Arial" w:hAnsi="Verdana" w:cs="Arial"/>
        </w:rPr>
      </w:pPr>
      <w:r>
        <w:rPr>
          <w:rFonts w:ascii="Verdana" w:eastAsia="Arial" w:hAnsi="Verdana" w:cs="Arial"/>
        </w:rPr>
        <w:t>Por lo anterior y con base en el diagnostico de necesidades para la vigencia 2026 y los resultados de la aplicación de la encuesta de clima laboral, l</w:t>
      </w:r>
      <w:r w:rsidRPr="002F3BBB">
        <w:rPr>
          <w:rFonts w:ascii="Verdana" w:eastAsia="Arial" w:hAnsi="Verdana" w:cs="Arial"/>
        </w:rPr>
        <w:t>as percepciones de los servidores de la entidad se destacan por alcanzar puntuaciones “más bajas”</w:t>
      </w:r>
      <w:r>
        <w:rPr>
          <w:rFonts w:ascii="Verdana" w:eastAsia="Arial" w:hAnsi="Verdana" w:cs="Arial"/>
        </w:rPr>
        <w:t xml:space="preserve"> en </w:t>
      </w:r>
      <w:r w:rsidRPr="00FC6F93">
        <w:rPr>
          <w:rFonts w:ascii="Verdana" w:hAnsi="Verdana"/>
        </w:rPr>
        <w:t xml:space="preserve">los ítems de bienestar laboral y gestión del talento humano, los funcionarios participantes consideran que aspectos tales </w:t>
      </w:r>
      <w:r w:rsidRPr="00FC6F93">
        <w:rPr>
          <w:rFonts w:ascii="Verdana" w:hAnsi="Verdana"/>
        </w:rPr>
        <w:lastRenderedPageBreak/>
        <w:t>como horarios flexibles, teletrabajo y una falta de meritocracia,</w:t>
      </w:r>
      <w:r w:rsidRPr="00236162">
        <w:rPr>
          <w:rFonts w:ascii="Verdana" w:hAnsi="Verdana" w:cs="Helvetica"/>
          <w:color w:val="333333"/>
          <w:shd w:val="clear" w:color="auto" w:fill="FFFFFF"/>
        </w:rPr>
        <w:t xml:space="preserve"> </w:t>
      </w:r>
      <w:r w:rsidRPr="00FC6F93">
        <w:rPr>
          <w:rFonts w:ascii="Verdana" w:eastAsia="Arial" w:hAnsi="Verdana" w:cs="Arial"/>
        </w:rPr>
        <w:t xml:space="preserve">señalada como un factor crítico que deteriora el ambiente laboral. </w:t>
      </w:r>
    </w:p>
    <w:p w14:paraId="6939039D" w14:textId="77777777" w:rsidR="00FE3BF0" w:rsidRDefault="00FE3BF0" w:rsidP="00FE3BF0">
      <w:pPr>
        <w:shd w:val="clear" w:color="auto" w:fill="FFFFFF"/>
        <w:spacing w:after="0"/>
        <w:jc w:val="both"/>
        <w:rPr>
          <w:rFonts w:ascii="Verdana" w:hAnsi="Verdana" w:cs="Helvetica"/>
          <w:color w:val="333333"/>
          <w:shd w:val="clear" w:color="auto" w:fill="FFFFFF"/>
        </w:rPr>
      </w:pPr>
    </w:p>
    <w:p w14:paraId="51C78537" w14:textId="6C530545" w:rsidR="00FE3BF0" w:rsidRPr="00FC6F93" w:rsidRDefault="00FE3BF0" w:rsidP="00FC6F93">
      <w:pPr>
        <w:jc w:val="both"/>
        <w:rPr>
          <w:rFonts w:ascii="Verdana" w:hAnsi="Verdana"/>
        </w:rPr>
      </w:pPr>
      <w:r w:rsidRPr="00FC6F93">
        <w:rPr>
          <w:rFonts w:ascii="Verdana" w:hAnsi="Verdana"/>
        </w:rPr>
        <w:t>La percepción de ascensos y designaciones basadas en afinidades personales o políticas impacta la motivación, genera inequidad y disminuye la confianza en las decisiones directivas.</w:t>
      </w:r>
    </w:p>
    <w:p w14:paraId="6E4E76C1" w14:textId="77777777" w:rsidR="00FE3BF0" w:rsidRPr="00FC6F93" w:rsidRDefault="00FE3BF0" w:rsidP="00FC6F93">
      <w:pPr>
        <w:jc w:val="both"/>
        <w:rPr>
          <w:rFonts w:ascii="Verdana" w:hAnsi="Verdana"/>
        </w:rPr>
      </w:pPr>
      <w:r w:rsidRPr="00FC6F93">
        <w:rPr>
          <w:rFonts w:ascii="Verdana" w:hAnsi="Verdana"/>
        </w:rPr>
        <w:t>Por lo cual y si bien es claro que talento humano presenta una propuesta formal para la ejecución del plan institucional de bienestar a la alta dirección, quienes aprueban su contenido como queda evidenciado en el acta correspondiente, es necesario que desde la dirección se evalúen los aspectos antes mencionados con el fin de mejorar las condiciones de bienestar de nuestros funcionarios, en acciones que fortalezcan la meritocracia, mejorar la comunicación, balancear cargas y profesionalizar la selección son acciones prioritarias para estabilizar el clima.</w:t>
      </w:r>
    </w:p>
    <w:p w14:paraId="532EB9E8" w14:textId="77777777" w:rsidR="00FE3BF0" w:rsidRPr="00FC6F93" w:rsidRDefault="00FE3BF0" w:rsidP="00FC6F93">
      <w:pPr>
        <w:jc w:val="both"/>
        <w:rPr>
          <w:rFonts w:ascii="Verdana" w:hAnsi="Verdana"/>
        </w:rPr>
      </w:pPr>
      <w:r w:rsidRPr="00FC6F93">
        <w:rPr>
          <w:rFonts w:ascii="Verdana" w:hAnsi="Verdana"/>
        </w:rPr>
        <w:t>Así mismo se recomienda que las acciones de bienestar garanticen criterios de equidad, inclusión y adaptabilidad, permitiendo su acceso a todos los servidores, conforme a sus funciones y condiciones laborales. El fortalecimiento de las condiciones de bienestar laboral no solo responde a un mandato normativo, sino que constituye una herramienta estratégica para consolidar una entidad más humana, eficiente y orientada al servicio público.</w:t>
      </w:r>
    </w:p>
    <w:p w14:paraId="429ED36C" w14:textId="77777777" w:rsidR="00FE3BF0" w:rsidRPr="00FC6F93" w:rsidRDefault="00FE3BF0" w:rsidP="00FE3BF0">
      <w:pPr>
        <w:shd w:val="clear" w:color="auto" w:fill="FFFFFF"/>
        <w:jc w:val="both"/>
        <w:rPr>
          <w:rFonts w:ascii="Verdana" w:hAnsi="Verdana"/>
        </w:rPr>
      </w:pPr>
      <w:r w:rsidRPr="00FC6F93">
        <w:rPr>
          <w:rFonts w:ascii="Verdana" w:hAnsi="Verdana"/>
        </w:rPr>
        <w:t>Ahora bien, la propuesta que se presentara al Comité Institucional de Gestión y desempeño para su aprobación contempla los componentes establecidos normativamente por el Decreto Ley 1567 de 1998, la Ley 909 del 23 de septiembre de 2004, Decreto 1083 de 2015 y el Programa Nacional de Bienestar 2023 -2026 expedido por la Función Pública y fueron construidos con base al diagnóstico de necesidades y los resultados de clima laboral y batería psicosocial, así como los requerimientos que se realizan desde MIPG.</w:t>
      </w:r>
    </w:p>
    <w:p w14:paraId="62219D6A" w14:textId="77777777" w:rsidR="00FE3BF0" w:rsidRPr="00FC6F93" w:rsidRDefault="00FE3BF0" w:rsidP="00FE3BF0">
      <w:pPr>
        <w:shd w:val="clear" w:color="auto" w:fill="FFFFFF"/>
        <w:jc w:val="both"/>
        <w:rPr>
          <w:rFonts w:ascii="Verdana" w:hAnsi="Verdana"/>
        </w:rPr>
      </w:pPr>
      <w:r w:rsidRPr="00FC6F93">
        <w:rPr>
          <w:rFonts w:ascii="Verdana" w:hAnsi="Verdana"/>
        </w:rPr>
        <w:t>Por lo anterior el plan de Bienestar para esta vigencia deben contemplarse actividades que fortalezcan el salario emocional mediante esquemas de flexibilidad laboral, estrategias de reconocimiento no monetario y acciones orientadas a la salud mental.</w:t>
      </w:r>
    </w:p>
    <w:p w14:paraId="3EA0DAC7" w14:textId="77777777" w:rsidR="00FE3BF0" w:rsidRPr="009B7581" w:rsidRDefault="00FE3BF0" w:rsidP="00FE3BF0">
      <w:pPr>
        <w:jc w:val="both"/>
        <w:rPr>
          <w:rFonts w:ascii="Verdana" w:hAnsi="Verdana"/>
        </w:rPr>
      </w:pPr>
      <w:r w:rsidRPr="00FC6F93">
        <w:rPr>
          <w:rFonts w:ascii="Verdana" w:hAnsi="Verdana"/>
        </w:rPr>
        <w:lastRenderedPageBreak/>
        <w:t xml:space="preserve">Es importante mencionar que el presupuesto aprobado para la presente vigencia asciende a $111.262.720, el cual es absorbido en su mayoría por la ejecución de actividades de carácter obligatorio establecidas normativamente, tales como la evaluación del riesgo psicosocial; la realización de exámenes ocupacionales de ingreso, egreso y periódicos —estos últimos exigidos cada dos años—; las acciones de preparación para la jubilación; la celebración del Día del Servidor Público; así como el porcentaje del cinco por ciento (5%) destinado a actividades en el marco de la negociación </w:t>
      </w:r>
      <w:r w:rsidRPr="009B7581">
        <w:rPr>
          <w:rFonts w:ascii="Verdana" w:hAnsi="Verdana"/>
        </w:rPr>
        <w:t>y concertación sindical.</w:t>
      </w:r>
    </w:p>
    <w:p w14:paraId="1B650AD2" w14:textId="3BF5D404" w:rsidR="00FE3BF0" w:rsidRPr="00FE3BF0" w:rsidRDefault="00FE3BF0" w:rsidP="00FE3BF0">
      <w:pPr>
        <w:spacing w:line="256" w:lineRule="auto"/>
        <w:jc w:val="both"/>
        <w:rPr>
          <w:rFonts w:ascii="Verdana" w:hAnsi="Verdana"/>
          <w:b/>
          <w:bCs/>
        </w:rPr>
      </w:pPr>
      <w:r w:rsidRPr="009B7581">
        <w:rPr>
          <w:rFonts w:ascii="Verdana" w:hAnsi="Verdana"/>
        </w:rPr>
        <w:t>En este contexto, se considera necesario que desde la Dirección se evalúe la posibilidad de asignar un rubro presupuestal independiente para el desarrollo de las actividades del Programa de Seguridad y Salud en el Trabajo, toda vez que la normativa vigente establece la obligatoriedad de contar con recursos propios para su implementación. Si bien dicho programa se articula con las estrategias de bienestar y capacitación, su autonomía presupuestal permitiría optimizar el uso de los recursos de bienestar, destinándolos de manera más efectiva a incentivos no monetarios y a otras acciones orientadas a incrementar la satisfacción y permanencia de los servidores públicos, tales como el apoyo a procesos de educación formal</w:t>
      </w:r>
    </w:p>
    <w:p w14:paraId="665F2F32" w14:textId="77777777" w:rsidR="00E53A04" w:rsidRPr="000743C5" w:rsidRDefault="00E53A04" w:rsidP="00E53A04">
      <w:pPr>
        <w:pStyle w:val="Prrafodelista"/>
        <w:jc w:val="both"/>
        <w:rPr>
          <w:rFonts w:ascii="Verdana" w:hAnsi="Verdana"/>
          <w:b/>
          <w:bCs/>
        </w:rPr>
      </w:pPr>
    </w:p>
    <w:p w14:paraId="6CA27E68" w14:textId="63A117E8" w:rsidR="00E53A04" w:rsidRPr="002F2DB3"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¿Cuáles fueron las inversiones realizadas en la superintendencia para fortalecer la ciberseguridad de la entidad? </w:t>
      </w:r>
    </w:p>
    <w:p w14:paraId="6B06F3C2" w14:textId="095275D0" w:rsidR="00B63B15" w:rsidRDefault="00B63B15" w:rsidP="002F2DB3">
      <w:pPr>
        <w:pStyle w:val="Prrafodelista"/>
        <w:spacing w:line="256" w:lineRule="auto"/>
        <w:jc w:val="both"/>
        <w:rPr>
          <w:rFonts w:ascii="Verdana" w:hAnsi="Verdana"/>
        </w:rPr>
      </w:pPr>
    </w:p>
    <w:p w14:paraId="2BA48F96" w14:textId="1512BFEF" w:rsidR="002F2DB3" w:rsidRPr="002F2DB3" w:rsidRDefault="002F2DB3" w:rsidP="002F2DB3">
      <w:pPr>
        <w:shd w:val="clear" w:color="auto" w:fill="FFFFFF"/>
        <w:spacing w:after="0" w:line="240" w:lineRule="auto"/>
        <w:jc w:val="both"/>
        <w:rPr>
          <w:rFonts w:ascii="Verdana" w:hAnsi="Verdana"/>
        </w:rPr>
      </w:pPr>
      <w:r w:rsidRPr="002F2DB3">
        <w:rPr>
          <w:rFonts w:ascii="Verdana" w:hAnsi="Verdana"/>
        </w:rPr>
        <w:t>Durante la vigencia 2025 se invirtió en el fortalecimiento de la seguridad</w:t>
      </w:r>
      <w:r>
        <w:rPr>
          <w:rFonts w:ascii="Verdana" w:hAnsi="Verdana"/>
        </w:rPr>
        <w:t xml:space="preserve"> </w:t>
      </w:r>
      <w:r w:rsidRPr="002F2DB3">
        <w:rPr>
          <w:rFonts w:ascii="Verdana" w:hAnsi="Verdana"/>
        </w:rPr>
        <w:t>digital de la entidad, priorizando la actualización y mejora de los principales controles de ciberseguridad. Se renovó el licenciamiento de la seguridad perimetral, incluyendo firewall y SIEM, se actualizó el WAF para proteger los servicios web, se implementaron soluciones de NAC para el control de acceso a la red y EDR para la protección de los equipos de cómputo. Adicionalmente, se realizaron pruebas de </w:t>
      </w:r>
      <w:proofErr w:type="spellStart"/>
      <w:r w:rsidRPr="002F2DB3">
        <w:rPr>
          <w:rFonts w:ascii="Verdana" w:hAnsi="Verdana"/>
        </w:rPr>
        <w:t>ethical</w:t>
      </w:r>
      <w:proofErr w:type="spellEnd"/>
      <w:r w:rsidRPr="002F2DB3">
        <w:rPr>
          <w:rFonts w:ascii="Verdana" w:hAnsi="Verdana"/>
        </w:rPr>
        <w:t xml:space="preserve"> hacking externo y se fortaleció el componente humano mediante la contratación de cuatro expertos en MSPI, seguridad de la información y seguridad digital, contribuyendo a una postura de seguridad más robusta frente a las amenazas cibernéticas.  </w:t>
      </w:r>
    </w:p>
    <w:p w14:paraId="30D8558A" w14:textId="5D3AA0B2" w:rsidR="00E53A04" w:rsidRPr="002F2DB3" w:rsidRDefault="00E53A04" w:rsidP="002F2DB3">
      <w:pPr>
        <w:jc w:val="both"/>
        <w:rPr>
          <w:rFonts w:ascii="Verdana" w:hAnsi="Verdana"/>
          <w:b/>
          <w:bCs/>
        </w:rPr>
      </w:pPr>
    </w:p>
    <w:p w14:paraId="76566F6A" w14:textId="386DFBE5" w:rsidR="00E53A04" w:rsidRPr="002F2DB3"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lastRenderedPageBreak/>
        <w:t xml:space="preserve">¿Cuáles han sido los principales avances y retos identificados por la Supersolidaria en el fortalecimiento de la supervisión basada en riesgos durante el período 2024-2025? y ¿cómo se están preparando las organizaciones solidarias para responder a este enfoque? </w:t>
      </w:r>
    </w:p>
    <w:p w14:paraId="6CFD1F01" w14:textId="04B3899E" w:rsidR="00E53A04" w:rsidRDefault="00E53A04" w:rsidP="00E53A04">
      <w:pPr>
        <w:pStyle w:val="Prrafodelista"/>
        <w:jc w:val="both"/>
        <w:rPr>
          <w:rFonts w:ascii="Verdana" w:hAnsi="Verdana"/>
          <w:b/>
          <w:bCs/>
        </w:rPr>
      </w:pPr>
    </w:p>
    <w:p w14:paraId="36E229B9" w14:textId="6A505862" w:rsidR="00A6659F" w:rsidRDefault="00A6659F" w:rsidP="00722E3C">
      <w:pPr>
        <w:pStyle w:val="Prrafodelista"/>
        <w:numPr>
          <w:ilvl w:val="0"/>
          <w:numId w:val="31"/>
        </w:numPr>
        <w:jc w:val="both"/>
        <w:rPr>
          <w:rFonts w:ascii="Verdana" w:hAnsi="Verdana"/>
          <w:b/>
          <w:bCs/>
        </w:rPr>
      </w:pPr>
      <w:r w:rsidRPr="00722E3C">
        <w:rPr>
          <w:rFonts w:ascii="Verdana" w:hAnsi="Verdana"/>
          <w:b/>
          <w:bCs/>
        </w:rPr>
        <w:t>Principales Avances y Acciones de la Supersolidaria</w:t>
      </w:r>
      <w:r w:rsidR="00722E3C">
        <w:rPr>
          <w:rFonts w:ascii="Verdana" w:hAnsi="Verdana"/>
          <w:b/>
          <w:bCs/>
        </w:rPr>
        <w:t xml:space="preserve"> en materia (SBR).</w:t>
      </w:r>
    </w:p>
    <w:p w14:paraId="23E5A802" w14:textId="2D40056D" w:rsidR="00A6659F" w:rsidRPr="00A86758" w:rsidRDefault="00A6659F" w:rsidP="00722E3C">
      <w:pPr>
        <w:jc w:val="both"/>
        <w:rPr>
          <w:rFonts w:ascii="Verdana" w:hAnsi="Verdana"/>
        </w:rPr>
      </w:pPr>
      <w:r w:rsidRPr="00A86758">
        <w:rPr>
          <w:rFonts w:ascii="Verdana" w:hAnsi="Verdana"/>
        </w:rPr>
        <w:t xml:space="preserve">El mayor hito en este periodo ha sido la transición de un modelo de control </w:t>
      </w:r>
      <w:r w:rsidR="00964A84" w:rsidRPr="00A86758">
        <w:rPr>
          <w:rFonts w:ascii="Verdana" w:hAnsi="Verdana"/>
        </w:rPr>
        <w:t xml:space="preserve">por cumplimiento o reactivo, </w:t>
      </w:r>
      <w:r w:rsidRPr="00A86758">
        <w:rPr>
          <w:rFonts w:ascii="Verdana" w:hAnsi="Verdana"/>
        </w:rPr>
        <w:t>hacia una Supervisión Basada en Riesgos (SBR)</w:t>
      </w:r>
      <w:r w:rsidR="00964A84" w:rsidRPr="00A86758">
        <w:rPr>
          <w:rFonts w:ascii="Verdana" w:hAnsi="Verdana"/>
        </w:rPr>
        <w:t xml:space="preserve"> que no elimina el control normativo, lo complementa</w:t>
      </w:r>
      <w:r w:rsidRPr="00A86758">
        <w:rPr>
          <w:rFonts w:ascii="Verdana" w:hAnsi="Verdana"/>
        </w:rPr>
        <w:t>. Los avances más destacados incluyen:</w:t>
      </w:r>
    </w:p>
    <w:p w14:paraId="3C6B2B7E" w14:textId="61FF548E" w:rsidR="00A6659F" w:rsidRPr="00A86758" w:rsidRDefault="00A6659F" w:rsidP="00722E3C">
      <w:pPr>
        <w:pStyle w:val="Prrafodelista"/>
        <w:numPr>
          <w:ilvl w:val="0"/>
          <w:numId w:val="33"/>
        </w:numPr>
        <w:jc w:val="both"/>
        <w:rPr>
          <w:rFonts w:ascii="Verdana" w:hAnsi="Verdana"/>
        </w:rPr>
      </w:pPr>
      <w:r w:rsidRPr="00A86758">
        <w:rPr>
          <w:rFonts w:ascii="Verdana" w:hAnsi="Verdana"/>
        </w:rPr>
        <w:t>Política Integral de Supervisión</w:t>
      </w:r>
      <w:r w:rsidR="00722E3C" w:rsidRPr="00A86758">
        <w:rPr>
          <w:rFonts w:ascii="Verdana" w:hAnsi="Verdana"/>
        </w:rPr>
        <w:t xml:space="preserve"> Basada en Riesgos (PISBR)</w:t>
      </w:r>
      <w:r w:rsidRPr="00A86758">
        <w:rPr>
          <w:rFonts w:ascii="Verdana" w:hAnsi="Verdana"/>
        </w:rPr>
        <w:t>: Se emitió una nueva política que rompe el paradigma tradicional, integrando metodologías innovadoras que transforman la supervisión en un ejercicio preventivo y generador de valor para el sector.</w:t>
      </w:r>
    </w:p>
    <w:p w14:paraId="51453434" w14:textId="6651EE84" w:rsidR="00A6659F" w:rsidRPr="00A86758" w:rsidRDefault="00A6659F" w:rsidP="00722E3C">
      <w:pPr>
        <w:pStyle w:val="Prrafodelista"/>
        <w:numPr>
          <w:ilvl w:val="0"/>
          <w:numId w:val="33"/>
        </w:numPr>
        <w:jc w:val="both"/>
        <w:rPr>
          <w:rFonts w:ascii="Verdana" w:hAnsi="Verdana"/>
        </w:rPr>
      </w:pPr>
      <w:r w:rsidRPr="00A86758">
        <w:rPr>
          <w:rFonts w:ascii="Verdana" w:hAnsi="Verdana"/>
        </w:rPr>
        <w:t>Supervisión Preventiva (SARC y SARL): Durante 2025, la Superintendencia fortaleció la vigilancia</w:t>
      </w:r>
      <w:r w:rsidR="00722E3C" w:rsidRPr="00A86758">
        <w:rPr>
          <w:rFonts w:ascii="Verdana" w:hAnsi="Verdana"/>
        </w:rPr>
        <w:t xml:space="preserve"> preventiva</w:t>
      </w:r>
      <w:r w:rsidRPr="00A86758">
        <w:rPr>
          <w:rFonts w:ascii="Verdana" w:hAnsi="Verdana"/>
        </w:rPr>
        <w:t xml:space="preserve"> sobre los Sistemas de Riesgo de Crédito (SARC) y Riesgo de Liquidez (SARL). Esto se tradujo en:</w:t>
      </w:r>
    </w:p>
    <w:p w14:paraId="66F0941E" w14:textId="77777777" w:rsidR="00A6659F" w:rsidRPr="00A86758" w:rsidRDefault="00A6659F" w:rsidP="00A6659F">
      <w:pPr>
        <w:pStyle w:val="Prrafodelista"/>
        <w:jc w:val="both"/>
        <w:rPr>
          <w:rFonts w:ascii="Verdana" w:hAnsi="Verdana"/>
        </w:rPr>
      </w:pPr>
    </w:p>
    <w:p w14:paraId="61F5D614" w14:textId="3B9349A5" w:rsidR="00A6659F" w:rsidRPr="00A86758" w:rsidRDefault="00A6659F" w:rsidP="00FC6F93">
      <w:pPr>
        <w:pStyle w:val="Prrafodelista"/>
        <w:numPr>
          <w:ilvl w:val="0"/>
          <w:numId w:val="33"/>
        </w:numPr>
        <w:jc w:val="both"/>
        <w:rPr>
          <w:rFonts w:ascii="Verdana" w:hAnsi="Verdana"/>
        </w:rPr>
      </w:pPr>
      <w:r w:rsidRPr="00A86758">
        <w:rPr>
          <w:rFonts w:ascii="Verdana" w:hAnsi="Verdana"/>
        </w:rPr>
        <w:t>119 órdenes de ajuste emitidas a un grupo de 112 organizaciones.</w:t>
      </w:r>
    </w:p>
    <w:p w14:paraId="2F229E13" w14:textId="52061126" w:rsidR="00A6659F" w:rsidRPr="00A86758" w:rsidRDefault="00964A84" w:rsidP="00FC6F93">
      <w:pPr>
        <w:pStyle w:val="Prrafodelista"/>
        <w:numPr>
          <w:ilvl w:val="0"/>
          <w:numId w:val="33"/>
        </w:numPr>
        <w:jc w:val="both"/>
        <w:rPr>
          <w:rFonts w:ascii="Verdana" w:hAnsi="Verdana"/>
        </w:rPr>
      </w:pPr>
      <w:r w:rsidRPr="00A86758">
        <w:rPr>
          <w:rFonts w:ascii="Verdana" w:hAnsi="Verdana"/>
        </w:rPr>
        <w:t xml:space="preserve">Un resultado histórico de </w:t>
      </w:r>
      <w:r w:rsidR="00A6659F" w:rsidRPr="00A86758">
        <w:rPr>
          <w:rFonts w:ascii="Verdana" w:hAnsi="Verdana"/>
        </w:rPr>
        <w:t>62 visitas</w:t>
      </w:r>
      <w:r w:rsidRPr="00A86758">
        <w:rPr>
          <w:rFonts w:ascii="Verdana" w:hAnsi="Verdana"/>
        </w:rPr>
        <w:t xml:space="preserve"> o jornadas de inspección en las que verifico</w:t>
      </w:r>
      <w:r w:rsidR="00A6659F" w:rsidRPr="00A86758">
        <w:rPr>
          <w:rFonts w:ascii="Verdana" w:hAnsi="Verdana"/>
        </w:rPr>
        <w:t xml:space="preserve"> la implementación real de dichos ajustes.</w:t>
      </w:r>
    </w:p>
    <w:p w14:paraId="5E170C74" w14:textId="77777777" w:rsidR="00A6659F" w:rsidRPr="00A86758" w:rsidRDefault="00A6659F" w:rsidP="00A6659F">
      <w:pPr>
        <w:pStyle w:val="Prrafodelista"/>
        <w:jc w:val="both"/>
        <w:rPr>
          <w:rFonts w:ascii="Verdana" w:hAnsi="Verdana"/>
        </w:rPr>
      </w:pPr>
    </w:p>
    <w:p w14:paraId="354597E8" w14:textId="1434185C" w:rsidR="00A6659F" w:rsidRPr="00A86758" w:rsidRDefault="00A6659F" w:rsidP="00722E3C">
      <w:pPr>
        <w:pStyle w:val="Prrafodelista"/>
        <w:numPr>
          <w:ilvl w:val="0"/>
          <w:numId w:val="34"/>
        </w:numPr>
        <w:jc w:val="both"/>
        <w:rPr>
          <w:rFonts w:ascii="Verdana" w:hAnsi="Verdana"/>
        </w:rPr>
      </w:pPr>
      <w:r w:rsidRPr="00A86758">
        <w:rPr>
          <w:rFonts w:ascii="Verdana" w:hAnsi="Verdana"/>
        </w:rPr>
        <w:t xml:space="preserve">Enfoque de Priorización: Se ha implementado un modelo que prioriza a las organizaciones según el nivel de severidad en su estructura de riesgo, asegurando una intervención oportuna </w:t>
      </w:r>
      <w:r w:rsidR="00964A84" w:rsidRPr="00A86758">
        <w:rPr>
          <w:rFonts w:ascii="Verdana" w:hAnsi="Verdana"/>
        </w:rPr>
        <w:t xml:space="preserve">y preventiva </w:t>
      </w:r>
      <w:r w:rsidRPr="00A86758">
        <w:rPr>
          <w:rFonts w:ascii="Verdana" w:hAnsi="Verdana"/>
        </w:rPr>
        <w:t>donde más se necesita.</w:t>
      </w:r>
    </w:p>
    <w:p w14:paraId="49E169FC" w14:textId="77777777" w:rsidR="00A6659F" w:rsidRPr="00A86758" w:rsidRDefault="00A6659F" w:rsidP="00A6659F">
      <w:pPr>
        <w:pStyle w:val="Prrafodelista"/>
        <w:jc w:val="both"/>
        <w:rPr>
          <w:rFonts w:ascii="Verdana" w:hAnsi="Verdana"/>
        </w:rPr>
      </w:pPr>
    </w:p>
    <w:p w14:paraId="67ABC60E" w14:textId="7306EA4A" w:rsidR="00A6659F" w:rsidRPr="00722E3C" w:rsidRDefault="00A6659F" w:rsidP="00722E3C">
      <w:pPr>
        <w:pStyle w:val="Prrafodelista"/>
        <w:numPr>
          <w:ilvl w:val="0"/>
          <w:numId w:val="31"/>
        </w:numPr>
        <w:jc w:val="both"/>
        <w:rPr>
          <w:rFonts w:ascii="Verdana" w:hAnsi="Verdana"/>
          <w:b/>
          <w:bCs/>
        </w:rPr>
      </w:pPr>
      <w:r w:rsidRPr="00722E3C">
        <w:rPr>
          <w:rFonts w:ascii="Verdana" w:hAnsi="Verdana"/>
          <w:b/>
          <w:bCs/>
        </w:rPr>
        <w:t xml:space="preserve">Retos y </w:t>
      </w:r>
      <w:r w:rsidR="00722E3C">
        <w:rPr>
          <w:rFonts w:ascii="Verdana" w:hAnsi="Verdana"/>
          <w:b/>
          <w:bCs/>
        </w:rPr>
        <w:t>Adaptación</w:t>
      </w:r>
      <w:r w:rsidRPr="00722E3C">
        <w:rPr>
          <w:rFonts w:ascii="Verdana" w:hAnsi="Verdana"/>
          <w:b/>
          <w:bCs/>
        </w:rPr>
        <w:t xml:space="preserve"> de las Organizaciones Solidarias</w:t>
      </w:r>
    </w:p>
    <w:p w14:paraId="43D9FB4D" w14:textId="77777777" w:rsidR="00A6659F" w:rsidRPr="00722E3C" w:rsidRDefault="00A6659F" w:rsidP="00722E3C">
      <w:pPr>
        <w:jc w:val="both"/>
        <w:rPr>
          <w:rFonts w:ascii="Verdana" w:hAnsi="Verdana"/>
        </w:rPr>
      </w:pPr>
      <w:r w:rsidRPr="00722E3C">
        <w:rPr>
          <w:rFonts w:ascii="Verdana" w:hAnsi="Verdana"/>
        </w:rPr>
        <w:lastRenderedPageBreak/>
        <w:t>El principal reto para las organizaciones radica en la multiplicidad de riesgos que deben gestionar (identificados detalladamente en el capítulo SIAR de la Circular Básica Contable y Financiera).</w:t>
      </w:r>
    </w:p>
    <w:p w14:paraId="696D0F9A" w14:textId="0D3974A5" w:rsidR="00A6659F" w:rsidRPr="00A6659F" w:rsidRDefault="00A6659F" w:rsidP="00722E3C">
      <w:pPr>
        <w:jc w:val="both"/>
        <w:rPr>
          <w:rFonts w:ascii="Verdana" w:hAnsi="Verdana"/>
        </w:rPr>
      </w:pPr>
      <w:r w:rsidRPr="00722E3C">
        <w:rPr>
          <w:rFonts w:ascii="Verdana" w:hAnsi="Verdana"/>
        </w:rPr>
        <w:t>Para responder a este enfoque, las organizaciones se están preparando mediante:</w:t>
      </w:r>
    </w:p>
    <w:p w14:paraId="49F13B7B" w14:textId="1F6C3965" w:rsidR="00A6659F" w:rsidRPr="00722E3C" w:rsidRDefault="00A6659F" w:rsidP="00BC10BE">
      <w:pPr>
        <w:pStyle w:val="Prrafodelista"/>
        <w:numPr>
          <w:ilvl w:val="0"/>
          <w:numId w:val="34"/>
        </w:numPr>
        <w:jc w:val="both"/>
        <w:rPr>
          <w:rFonts w:ascii="Verdana" w:hAnsi="Verdana"/>
        </w:rPr>
      </w:pPr>
      <w:r w:rsidRPr="00722E3C">
        <w:rPr>
          <w:rFonts w:ascii="Verdana" w:hAnsi="Verdana"/>
        </w:rPr>
        <w:t>Adaptación Normativa: Ajustando sus procesos internos a los requerimientos de la C</w:t>
      </w:r>
      <w:r w:rsidR="00722E3C">
        <w:rPr>
          <w:rFonts w:ascii="Verdana" w:hAnsi="Verdana"/>
        </w:rPr>
        <w:t>BCF</w:t>
      </w:r>
      <w:r w:rsidRPr="00722E3C">
        <w:rPr>
          <w:rFonts w:ascii="Verdana" w:hAnsi="Verdana"/>
        </w:rPr>
        <w:t>.</w:t>
      </w:r>
    </w:p>
    <w:p w14:paraId="484688C8" w14:textId="784B978D" w:rsidR="00A6659F" w:rsidRPr="00722E3C" w:rsidRDefault="00A6659F" w:rsidP="00CE14A3">
      <w:pPr>
        <w:pStyle w:val="Prrafodelista"/>
        <w:numPr>
          <w:ilvl w:val="0"/>
          <w:numId w:val="34"/>
        </w:numPr>
        <w:jc w:val="both"/>
        <w:rPr>
          <w:rFonts w:ascii="Verdana" w:hAnsi="Verdana"/>
        </w:rPr>
      </w:pPr>
      <w:r w:rsidRPr="00722E3C">
        <w:rPr>
          <w:rFonts w:ascii="Verdana" w:hAnsi="Verdana"/>
        </w:rPr>
        <w:t>Fortalecimiento Técnico: Implementando los ajustes ordenados por la Superintendencia para robustecer sus sistemas internos</w:t>
      </w:r>
      <w:r w:rsidR="00722E3C">
        <w:rPr>
          <w:rFonts w:ascii="Verdana" w:hAnsi="Verdana"/>
        </w:rPr>
        <w:t xml:space="preserve"> y parametrizar su estructura de controles</w:t>
      </w:r>
      <w:r w:rsidRPr="00722E3C">
        <w:rPr>
          <w:rFonts w:ascii="Verdana" w:hAnsi="Verdana"/>
        </w:rPr>
        <w:t>.</w:t>
      </w:r>
    </w:p>
    <w:p w14:paraId="6F3BCB32" w14:textId="1542F349" w:rsidR="00D64874" w:rsidRDefault="00A6659F" w:rsidP="00722E3C">
      <w:pPr>
        <w:pStyle w:val="Prrafodelista"/>
        <w:numPr>
          <w:ilvl w:val="0"/>
          <w:numId w:val="34"/>
        </w:numPr>
        <w:jc w:val="both"/>
        <w:rPr>
          <w:rFonts w:ascii="Verdana" w:hAnsi="Verdana"/>
        </w:rPr>
      </w:pPr>
      <w:r w:rsidRPr="00A6659F">
        <w:rPr>
          <w:rFonts w:ascii="Verdana" w:hAnsi="Verdana"/>
        </w:rPr>
        <w:t>Cambio Cultural: Adoptando el modelo de economía solidaria no solo como una estructura operativa, sino como un sistema capaz de crecer de manera sostenible bajo estándares de gestión de riesgo modernos.</w:t>
      </w:r>
    </w:p>
    <w:p w14:paraId="7376058F" w14:textId="0C3DE6C9" w:rsidR="00722E3C" w:rsidRPr="000743C5" w:rsidRDefault="00722E3C" w:rsidP="00B63B15">
      <w:pPr>
        <w:jc w:val="both"/>
        <w:rPr>
          <w:rFonts w:ascii="Verdana" w:hAnsi="Verdana"/>
          <w:b/>
          <w:bCs/>
        </w:rPr>
      </w:pPr>
    </w:p>
    <w:p w14:paraId="4142DE1E" w14:textId="5AC442F0" w:rsidR="00FC6F93" w:rsidRPr="00A86758" w:rsidRDefault="00E53A04" w:rsidP="00A23271">
      <w:pPr>
        <w:pStyle w:val="Prrafodelista"/>
        <w:numPr>
          <w:ilvl w:val="0"/>
          <w:numId w:val="30"/>
        </w:numPr>
        <w:spacing w:line="256" w:lineRule="auto"/>
        <w:ind w:left="360"/>
        <w:jc w:val="both"/>
        <w:rPr>
          <w:rFonts w:ascii="Verdana" w:hAnsi="Verdana"/>
        </w:rPr>
      </w:pPr>
      <w:r w:rsidRPr="00FC6F93">
        <w:rPr>
          <w:rFonts w:ascii="Verdana" w:hAnsi="Verdana"/>
          <w:b/>
          <w:bCs/>
        </w:rPr>
        <w:t xml:space="preserve">Considerando las modificaciones que introducen las circulares externas 87, 88 y 89 de 2025, ¿cuáles son los mecanismos de seguimiento clave que las entidades reguladas deben tener en cuenta para la correcta y oportuna implementación de estas nuevas directrices? </w:t>
      </w:r>
    </w:p>
    <w:p w14:paraId="3648D0F2" w14:textId="77777777" w:rsidR="00A86758" w:rsidRPr="00FC6F93" w:rsidRDefault="00A86758" w:rsidP="00A86758">
      <w:pPr>
        <w:pStyle w:val="Prrafodelista"/>
        <w:spacing w:line="256" w:lineRule="auto"/>
        <w:ind w:left="360"/>
        <w:jc w:val="both"/>
        <w:rPr>
          <w:rFonts w:ascii="Verdana" w:hAnsi="Verdana"/>
        </w:rPr>
      </w:pPr>
    </w:p>
    <w:p w14:paraId="4F808ED9" w14:textId="4F210829" w:rsidR="002E5AA0" w:rsidRPr="00A86758" w:rsidRDefault="002E5AA0" w:rsidP="00FC6F93">
      <w:pPr>
        <w:pStyle w:val="Prrafodelista"/>
        <w:spacing w:line="256" w:lineRule="auto"/>
        <w:ind w:left="360"/>
        <w:jc w:val="both"/>
        <w:rPr>
          <w:rFonts w:ascii="Verdana" w:hAnsi="Verdana"/>
        </w:rPr>
      </w:pPr>
      <w:r w:rsidRPr="00FC6F93">
        <w:rPr>
          <w:rFonts w:ascii="Verdana" w:hAnsi="Verdana"/>
        </w:rPr>
        <w:t xml:space="preserve">Las nuevas directrices de 2025 emitidas por la Supersolidaria establecen los </w:t>
      </w:r>
      <w:r w:rsidRPr="00A86758">
        <w:rPr>
          <w:rFonts w:ascii="Verdana" w:hAnsi="Verdana"/>
        </w:rPr>
        <w:t>siguientes mecanismos de seguimiento clave para las entidades supervisadas:</w:t>
      </w:r>
    </w:p>
    <w:p w14:paraId="11F4FA85" w14:textId="77777777" w:rsidR="002E5AA0" w:rsidRPr="00A86758" w:rsidRDefault="002E5AA0" w:rsidP="002E5AA0">
      <w:pPr>
        <w:numPr>
          <w:ilvl w:val="0"/>
          <w:numId w:val="35"/>
        </w:numPr>
        <w:shd w:val="clear" w:color="auto" w:fill="FFFFFF"/>
        <w:spacing w:line="240" w:lineRule="auto"/>
        <w:jc w:val="both"/>
        <w:rPr>
          <w:rFonts w:ascii="Calibri" w:eastAsia="Times New Roman" w:hAnsi="Calibri" w:cs="Calibri"/>
          <w:lang w:eastAsia="es-CO"/>
        </w:rPr>
      </w:pPr>
      <w:r w:rsidRPr="00A86758">
        <w:rPr>
          <w:rFonts w:ascii="Verdana" w:eastAsia="Times New Roman" w:hAnsi="Verdana" w:cs="Calibri"/>
          <w:b/>
          <w:bCs/>
          <w:lang w:eastAsia="es-CO"/>
        </w:rPr>
        <w:t>Reporte Digital Obligatorio:</w:t>
      </w:r>
      <w:r w:rsidRPr="00A86758">
        <w:rPr>
          <w:rFonts w:ascii="Verdana" w:eastAsia="Times New Roman" w:hAnsi="Verdana" w:cs="Calibri"/>
          <w:lang w:eastAsia="es-CO"/>
        </w:rPr>
        <w:t> Las entidades deben reportar los datos del Balance Social mediante el formulario web oficial. Asimismo, deben informar a la Superintendencia el nivel de implementación de sus prácticas de Buen Gobierno.</w:t>
      </w:r>
    </w:p>
    <w:p w14:paraId="7E3B8911" w14:textId="77777777" w:rsidR="002E5AA0" w:rsidRPr="002E5AA0" w:rsidRDefault="002E5AA0" w:rsidP="002E5AA0">
      <w:pPr>
        <w:numPr>
          <w:ilvl w:val="0"/>
          <w:numId w:val="35"/>
        </w:numPr>
        <w:shd w:val="clear" w:color="auto" w:fill="FFFFFF"/>
        <w:spacing w:line="240" w:lineRule="auto"/>
        <w:jc w:val="both"/>
        <w:rPr>
          <w:rFonts w:ascii="Calibri" w:eastAsia="Times New Roman" w:hAnsi="Calibri" w:cs="Calibri"/>
          <w:color w:val="222222"/>
          <w:lang w:eastAsia="es-CO"/>
        </w:rPr>
      </w:pPr>
      <w:r w:rsidRPr="00A86758">
        <w:rPr>
          <w:rFonts w:ascii="Verdana" w:eastAsia="Times New Roman" w:hAnsi="Verdana" w:cs="Calibri"/>
          <w:b/>
          <w:bCs/>
          <w:lang w:eastAsia="es-CO"/>
        </w:rPr>
        <w:t>Rendición de Cuentas en Asambleas:</w:t>
      </w:r>
      <w:r w:rsidRPr="00A86758">
        <w:rPr>
          <w:rFonts w:ascii="Verdana" w:eastAsia="Times New Roman" w:hAnsi="Verdana" w:cs="Calibri"/>
          <w:lang w:eastAsia="es-CO"/>
        </w:rPr>
        <w:t> Los resultados de la medición del Balance Social y el informe de implementación de Buen Gobierno deben presentarse obligatoriamente ante la </w:t>
      </w:r>
      <w:r w:rsidRPr="00A86758">
        <w:rPr>
          <w:rFonts w:ascii="Verdana" w:eastAsia="Times New Roman" w:hAnsi="Verdana" w:cs="Calibri"/>
          <w:b/>
          <w:bCs/>
          <w:lang w:eastAsia="es-CO"/>
        </w:rPr>
        <w:t>Asamblea General Ordinaria</w:t>
      </w:r>
      <w:r w:rsidRPr="00A86758">
        <w:rPr>
          <w:rFonts w:ascii="Verdana" w:eastAsia="Times New Roman" w:hAnsi="Verdana" w:cs="Calibri"/>
          <w:lang w:eastAsia="es-CO"/>
        </w:rPr>
        <w:t> de asociados/delegados</w:t>
      </w:r>
      <w:r w:rsidRPr="002E5AA0">
        <w:rPr>
          <w:rFonts w:ascii="Verdana" w:eastAsia="Times New Roman" w:hAnsi="Verdana" w:cs="Calibri"/>
          <w:color w:val="222222"/>
          <w:lang w:eastAsia="es-CO"/>
        </w:rPr>
        <w:t>.</w:t>
      </w:r>
    </w:p>
    <w:p w14:paraId="4D065FB0" w14:textId="77777777" w:rsidR="002E5AA0" w:rsidRPr="002E5AA0" w:rsidRDefault="002E5AA0" w:rsidP="002E5AA0">
      <w:pPr>
        <w:numPr>
          <w:ilvl w:val="0"/>
          <w:numId w:val="35"/>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lastRenderedPageBreak/>
        <w:t>Formalización en Estatutos:</w:t>
      </w:r>
      <w:r w:rsidRPr="002E5AA0">
        <w:rPr>
          <w:rFonts w:ascii="Verdana" w:eastAsia="Times New Roman" w:hAnsi="Verdana" w:cs="Calibri"/>
          <w:color w:val="222222"/>
          <w:lang w:eastAsia="es-CO"/>
        </w:rPr>
        <w:t> Las entidades obligadas a adoptar la Guía de Buen Gobierno deben incluir una cláusula en sus </w:t>
      </w:r>
      <w:r w:rsidRPr="002E5AA0">
        <w:rPr>
          <w:rFonts w:ascii="Verdana" w:eastAsia="Times New Roman" w:hAnsi="Verdana" w:cs="Calibri"/>
          <w:b/>
          <w:bCs/>
          <w:color w:val="222222"/>
          <w:lang w:eastAsia="es-CO"/>
        </w:rPr>
        <w:t>estatutos</w:t>
      </w:r>
      <w:r w:rsidRPr="002E5AA0">
        <w:rPr>
          <w:rFonts w:ascii="Verdana" w:eastAsia="Times New Roman" w:hAnsi="Verdana" w:cs="Calibri"/>
          <w:color w:val="222222"/>
          <w:lang w:eastAsia="es-CO"/>
        </w:rPr>
        <w:t> que exija el cumplimiento de estas normas a directivos y empleados.</w:t>
      </w:r>
    </w:p>
    <w:p w14:paraId="0891CF5D" w14:textId="77777777" w:rsidR="002E5AA0" w:rsidRPr="002E5AA0" w:rsidRDefault="002E5AA0" w:rsidP="002E5AA0">
      <w:pPr>
        <w:numPr>
          <w:ilvl w:val="0"/>
          <w:numId w:val="35"/>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Principio de "Cumpla o Explique":</w:t>
      </w:r>
      <w:r w:rsidRPr="002E5AA0">
        <w:rPr>
          <w:rFonts w:ascii="Verdana" w:eastAsia="Times New Roman" w:hAnsi="Verdana" w:cs="Calibri"/>
          <w:color w:val="222222"/>
          <w:lang w:eastAsia="es-CO"/>
        </w:rPr>
        <w:t> Si una entidad no adopta una recomendación de Buen Gobierno, debe presentar una justificación clara, razonada y documentada ante esta superintendencia.</w:t>
      </w:r>
    </w:p>
    <w:p w14:paraId="5CCCCFE4" w14:textId="77777777" w:rsidR="002E5AA0" w:rsidRPr="002E5AA0" w:rsidRDefault="002E5AA0" w:rsidP="002E5AA0">
      <w:pPr>
        <w:numPr>
          <w:ilvl w:val="0"/>
          <w:numId w:val="35"/>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Planes de Acción Financiera:</w:t>
      </w:r>
      <w:r w:rsidRPr="002E5AA0">
        <w:rPr>
          <w:rFonts w:ascii="Verdana" w:eastAsia="Times New Roman" w:hAnsi="Verdana" w:cs="Calibri"/>
          <w:color w:val="222222"/>
          <w:lang w:eastAsia="es-CO"/>
        </w:rPr>
        <w:t> Los Fondos de Empleados que pasen a categoría plena deben ejecutar un plan de acción específico para cumplir con los indicadores de </w:t>
      </w:r>
      <w:r w:rsidRPr="002E5AA0">
        <w:rPr>
          <w:rFonts w:ascii="Verdana" w:eastAsia="Times New Roman" w:hAnsi="Verdana" w:cs="Calibri"/>
          <w:b/>
          <w:bCs/>
          <w:color w:val="222222"/>
          <w:lang w:eastAsia="es-CO"/>
        </w:rPr>
        <w:t>Solidez y Patrimonio Adecuado</w:t>
      </w:r>
      <w:r w:rsidRPr="002E5AA0">
        <w:rPr>
          <w:rFonts w:ascii="Verdana" w:eastAsia="Times New Roman" w:hAnsi="Verdana" w:cs="Calibri"/>
          <w:color w:val="222222"/>
          <w:lang w:eastAsia="es-CO"/>
        </w:rPr>
        <w:t>.</w:t>
      </w:r>
    </w:p>
    <w:p w14:paraId="38504501" w14:textId="77777777" w:rsidR="002E5AA0" w:rsidRPr="002E5AA0" w:rsidRDefault="002E5AA0" w:rsidP="002E5AA0">
      <w:pPr>
        <w:numPr>
          <w:ilvl w:val="0"/>
          <w:numId w:val="35"/>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Cumplimiento de Cronogramas:</w:t>
      </w:r>
      <w:r w:rsidRPr="002E5AA0">
        <w:rPr>
          <w:rFonts w:ascii="Verdana" w:eastAsia="Times New Roman" w:hAnsi="Verdana" w:cs="Calibri"/>
          <w:color w:val="222222"/>
          <w:lang w:eastAsia="es-CO"/>
        </w:rPr>
        <w:t> El seguimiento se basa en plazos estrictos según la categoría de la entidad (Plena, Intermedia o Básica); el incumplimiento de estas fechas acarrea sanciones administrativas.</w:t>
      </w:r>
    </w:p>
    <w:p w14:paraId="7A7415C5" w14:textId="1F3584D7" w:rsidR="002E5AA0" w:rsidRPr="002E5AA0" w:rsidRDefault="002E5AA0" w:rsidP="002E5AA0">
      <w:p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¿Qué acciones concretas ha implementado la Supersolidaria en el último año para fortalecer la supervisión y acompañamiento a las cooperativas y fondos de empleados, especialmente en materia de prevención de riesgos financieros y protección de los asociados, y cuáles son los resultados obtenidos hasta la fecha?</w:t>
      </w:r>
    </w:p>
    <w:p w14:paraId="527421AC" w14:textId="77777777" w:rsidR="002E5AA0" w:rsidRPr="002E5AA0" w:rsidRDefault="002E5AA0" w:rsidP="002E5AA0">
      <w:p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color w:val="222222"/>
          <w:lang w:eastAsia="es-CO"/>
        </w:rPr>
        <w:t>Durante el último año (2025), la Superintendencia de la Economía Solidaria ha ejecutado una transformación en su modelo de supervisión, migrando de un enfoque sancionatorio a uno </w:t>
      </w:r>
      <w:r w:rsidRPr="002E5AA0">
        <w:rPr>
          <w:rFonts w:ascii="Verdana" w:eastAsia="Times New Roman" w:hAnsi="Verdana" w:cs="Calibri"/>
          <w:b/>
          <w:bCs/>
          <w:color w:val="222222"/>
          <w:lang w:eastAsia="es-CO"/>
        </w:rPr>
        <w:t>que respeta las asimetrías de las entidades</w:t>
      </w:r>
      <w:r w:rsidRPr="002E5AA0">
        <w:rPr>
          <w:rFonts w:ascii="Verdana" w:eastAsia="Times New Roman" w:hAnsi="Verdana" w:cs="Calibri"/>
          <w:color w:val="222222"/>
          <w:lang w:eastAsia="es-CO"/>
        </w:rPr>
        <w:t> basado en la gestión de riesgos.</w:t>
      </w:r>
    </w:p>
    <w:p w14:paraId="4C3CAE1B" w14:textId="77777777" w:rsidR="002E5AA0" w:rsidRPr="002E5AA0" w:rsidRDefault="002E5AA0" w:rsidP="002E5AA0">
      <w:p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color w:val="222222"/>
          <w:lang w:eastAsia="es-CO"/>
        </w:rPr>
        <w:t>Estas son las acciones concretas y los resultados obtenidos según las directrices vigentes:</w:t>
      </w:r>
    </w:p>
    <w:p w14:paraId="4EF02DDB" w14:textId="77777777" w:rsidR="002E5AA0" w:rsidRPr="002E5AA0" w:rsidRDefault="002E5AA0" w:rsidP="002E5AA0">
      <w:p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1. Fortalecimiento de la Supervisión y Riesgos Financieros</w:t>
      </w:r>
    </w:p>
    <w:p w14:paraId="6F1C018C" w14:textId="77777777" w:rsidR="002E5AA0" w:rsidRPr="002E5AA0" w:rsidRDefault="002E5AA0" w:rsidP="002E5AA0">
      <w:pPr>
        <w:numPr>
          <w:ilvl w:val="0"/>
          <w:numId w:val="36"/>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Nueva Política de Supervisión y Sistema ADA:</w:t>
      </w:r>
      <w:r w:rsidRPr="002E5AA0">
        <w:rPr>
          <w:rFonts w:ascii="Verdana" w:eastAsia="Times New Roman" w:hAnsi="Verdana" w:cs="Calibri"/>
          <w:color w:val="222222"/>
          <w:lang w:eastAsia="es-CO"/>
        </w:rPr>
        <w:t> Socializada en agosto de 2025, esta política se centra en la prevención mediante alertas tempranas y planes de recuperación para evitar crisis antes de que ocurran.</w:t>
      </w:r>
    </w:p>
    <w:p w14:paraId="207453A5" w14:textId="77777777" w:rsidR="002E5AA0" w:rsidRPr="002E5AA0" w:rsidRDefault="002E5AA0" w:rsidP="002E5AA0">
      <w:pPr>
        <w:numPr>
          <w:ilvl w:val="0"/>
          <w:numId w:val="36"/>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Simulador de Pérdida Esperada:</w:t>
      </w:r>
      <w:r w:rsidRPr="002E5AA0">
        <w:rPr>
          <w:rFonts w:ascii="Verdana" w:eastAsia="Times New Roman" w:hAnsi="Verdana" w:cs="Calibri"/>
          <w:color w:val="222222"/>
          <w:lang w:eastAsia="es-CO"/>
        </w:rPr>
        <w:t> Se implementó una herramienta tecnológica que permite a las entidades calcular con precisión el deterioro de su cartera de créditos, facilitando el cumplimiento normativo y la estabilidad financiera.</w:t>
      </w:r>
    </w:p>
    <w:p w14:paraId="29B9971E" w14:textId="77777777" w:rsidR="002E5AA0" w:rsidRPr="002E5AA0" w:rsidRDefault="002E5AA0" w:rsidP="002E5AA0">
      <w:pPr>
        <w:numPr>
          <w:ilvl w:val="0"/>
          <w:numId w:val="36"/>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lastRenderedPageBreak/>
        <w:t>Regulación de Solidez y Patrimonio (Circular 89):</w:t>
      </w:r>
      <w:r w:rsidRPr="002E5AA0">
        <w:rPr>
          <w:rFonts w:ascii="Verdana" w:eastAsia="Times New Roman" w:hAnsi="Verdana" w:cs="Calibri"/>
          <w:color w:val="222222"/>
          <w:lang w:eastAsia="es-CO"/>
        </w:rPr>
        <w:t> Se estableció un plan de acción obligatorio para que los fondos de empleados de categoría plena cumplan con los niveles de patrimonio adecuado, protegiendo así el ahorro de los asociados.</w:t>
      </w:r>
    </w:p>
    <w:p w14:paraId="4FE719E3" w14:textId="77777777" w:rsidR="002E5AA0" w:rsidRPr="002E5AA0" w:rsidRDefault="002E5AA0" w:rsidP="002E5AA0">
      <w:pPr>
        <w:numPr>
          <w:ilvl w:val="0"/>
          <w:numId w:val="36"/>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Gestión de Liquidez:</w:t>
      </w:r>
      <w:r w:rsidRPr="002E5AA0">
        <w:rPr>
          <w:rFonts w:ascii="Verdana" w:eastAsia="Times New Roman" w:hAnsi="Verdana" w:cs="Calibri"/>
          <w:color w:val="222222"/>
          <w:lang w:eastAsia="es-CO"/>
        </w:rPr>
        <w:t> Se han propuesto límites más estrictos para fondos y cooperativas de categoría plena, restringiendo la inversión de liquidez a activos de alta seguridad como cuentas de ahorro, corrientes y bonos gubernamentales.</w:t>
      </w:r>
    </w:p>
    <w:p w14:paraId="6FD8F7F2" w14:textId="77777777" w:rsidR="002E5AA0" w:rsidRPr="002E5AA0" w:rsidRDefault="002E5AA0" w:rsidP="002E5AA0">
      <w:p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2. Protección de los Asociados y Buen Gobierno</w:t>
      </w:r>
    </w:p>
    <w:p w14:paraId="71AD00FD" w14:textId="77777777" w:rsidR="002E5AA0" w:rsidRPr="002E5AA0" w:rsidRDefault="002E5AA0" w:rsidP="002E5AA0">
      <w:pPr>
        <w:numPr>
          <w:ilvl w:val="0"/>
          <w:numId w:val="37"/>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Guía de Mejores Prácticas de Buen Gobierno (Circular 88):</w:t>
      </w:r>
      <w:r w:rsidRPr="002E5AA0">
        <w:rPr>
          <w:rFonts w:ascii="Verdana" w:eastAsia="Times New Roman" w:hAnsi="Verdana" w:cs="Calibri"/>
          <w:color w:val="222222"/>
          <w:lang w:eastAsia="es-CO"/>
        </w:rPr>
        <w:t> Lanzada en agosto de 2025, integra 30 medidas y 111 recomendaciones para profesionalizar la administración, mejorar la transparencia y garantizar un trato equitativo a todos los asociados.</w:t>
      </w:r>
    </w:p>
    <w:p w14:paraId="150BD057" w14:textId="77777777" w:rsidR="002E5AA0" w:rsidRPr="002E5AA0" w:rsidRDefault="002E5AA0" w:rsidP="002E5AA0">
      <w:pPr>
        <w:numPr>
          <w:ilvl w:val="0"/>
          <w:numId w:val="37"/>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Guía Técnica de Derechos del Asociado:</w:t>
      </w:r>
      <w:r w:rsidRPr="002E5AA0">
        <w:rPr>
          <w:rFonts w:ascii="Verdana" w:eastAsia="Times New Roman" w:hAnsi="Verdana" w:cs="Calibri"/>
          <w:color w:val="222222"/>
          <w:lang w:eastAsia="es-CO"/>
        </w:rPr>
        <w:t> Publicada en junio de 2025 en conjunto con la Superintendencia de Industria y Comercio (SIC), sistematiza 11 derechos fundamentales, incluyendo el acceso a información clara y la protección contractual.</w:t>
      </w:r>
    </w:p>
    <w:p w14:paraId="74BDC1F9" w14:textId="07401C49" w:rsidR="00E53A04" w:rsidRPr="002E190F" w:rsidRDefault="002E5AA0" w:rsidP="002E190F">
      <w:pPr>
        <w:numPr>
          <w:ilvl w:val="0"/>
          <w:numId w:val="37"/>
        </w:numPr>
        <w:shd w:val="clear" w:color="auto" w:fill="FFFFFF"/>
        <w:spacing w:line="240" w:lineRule="auto"/>
        <w:jc w:val="both"/>
        <w:rPr>
          <w:rFonts w:ascii="Calibri" w:eastAsia="Times New Roman" w:hAnsi="Calibri" w:cs="Calibri"/>
          <w:color w:val="222222"/>
          <w:lang w:eastAsia="es-CO"/>
        </w:rPr>
      </w:pPr>
      <w:r w:rsidRPr="002E5AA0">
        <w:rPr>
          <w:rFonts w:ascii="Verdana" w:eastAsia="Times New Roman" w:hAnsi="Verdana" w:cs="Calibri"/>
          <w:b/>
          <w:bCs/>
          <w:color w:val="222222"/>
          <w:lang w:eastAsia="es-CO"/>
        </w:rPr>
        <w:t>Reporte de Balance Social (Circular 87):</w:t>
      </w:r>
      <w:r w:rsidRPr="002E5AA0">
        <w:rPr>
          <w:rFonts w:ascii="Verdana" w:eastAsia="Times New Roman" w:hAnsi="Verdana" w:cs="Calibri"/>
          <w:color w:val="222222"/>
          <w:lang w:eastAsia="es-CO"/>
        </w:rPr>
        <w:t> Por primera vez, se exige un reporte técnico del impacto social generado por los fondos de empleados, permitiendo que los asociados verifiquen el cumplimiento del "acuerdo solidario" y no solo los resultados financieros.</w:t>
      </w:r>
    </w:p>
    <w:p w14:paraId="315D635F" w14:textId="11099B5B" w:rsidR="00E53A04" w:rsidRDefault="00E53A04" w:rsidP="00B40A0A">
      <w:pPr>
        <w:pStyle w:val="Prrafodelista"/>
        <w:numPr>
          <w:ilvl w:val="0"/>
          <w:numId w:val="30"/>
        </w:numPr>
        <w:spacing w:line="256" w:lineRule="auto"/>
        <w:jc w:val="both"/>
        <w:rPr>
          <w:rFonts w:ascii="Verdana" w:hAnsi="Verdana"/>
          <w:b/>
          <w:bCs/>
        </w:rPr>
      </w:pPr>
      <w:r w:rsidRPr="002F2DB3">
        <w:rPr>
          <w:rFonts w:ascii="Verdana" w:hAnsi="Verdana"/>
          <w:b/>
          <w:bCs/>
        </w:rPr>
        <w:t xml:space="preserve">¿Cuáles son los aportes que trae el nuevo modelo de supervisión? </w:t>
      </w:r>
    </w:p>
    <w:p w14:paraId="0B2D25E6" w14:textId="77777777" w:rsidR="00675A0E" w:rsidRDefault="00675A0E" w:rsidP="00675A0E">
      <w:pPr>
        <w:jc w:val="both"/>
        <w:rPr>
          <w:rFonts w:ascii="Verdana" w:hAnsi="Verdana"/>
        </w:rPr>
      </w:pPr>
      <w:r>
        <w:rPr>
          <w:rFonts w:ascii="Verdana" w:hAnsi="Verdana"/>
        </w:rPr>
        <w:t xml:space="preserve">La Política Integral de Supervisión Basada en Riegos - PISBR es el marco técnico y estratégico mediante el cual la Superintendencia de la Economía Solidaria orienta el ejercicio de sus funciones de inspección, vigilancia y control sobre las Empresas Solidarias Supervisadas (ESS), en cumplimiento del mandato constitucional orientado al fortalecimiento de las formas asociativas y la protección del interés público en el ejercicio de actividades económicas desarrolladas bajo principios de la economía solidaridad. </w:t>
      </w:r>
    </w:p>
    <w:p w14:paraId="5E13ABD7" w14:textId="77777777" w:rsidR="00675A0E" w:rsidRDefault="00675A0E" w:rsidP="00675A0E">
      <w:pPr>
        <w:jc w:val="both"/>
        <w:rPr>
          <w:rFonts w:ascii="Verdana" w:hAnsi="Verdana"/>
        </w:rPr>
      </w:pPr>
      <w:r>
        <w:rPr>
          <w:rFonts w:ascii="Verdana" w:hAnsi="Verdana"/>
        </w:rPr>
        <w:t xml:space="preserve">La Política establece los principios rectores, los objetivos estratégicos y las líneas de acción que orientan la actuación de la Supersolidaria. No constituye una metodología operativa, sino un documento de política pública que define </w:t>
      </w:r>
      <w:r>
        <w:rPr>
          <w:rFonts w:ascii="Verdana" w:hAnsi="Verdana"/>
        </w:rPr>
        <w:lastRenderedPageBreak/>
        <w:t xml:space="preserve">la posición institucional y sus prioridades en materia de supervisión. De ella se derivan metodologías, procedimientos y herramientas específicas. </w:t>
      </w:r>
    </w:p>
    <w:p w14:paraId="33B4354B" w14:textId="77777777" w:rsidR="00675A0E" w:rsidRDefault="00675A0E" w:rsidP="00675A0E">
      <w:pPr>
        <w:jc w:val="both"/>
        <w:rPr>
          <w:rFonts w:ascii="Verdana" w:hAnsi="Verdana"/>
        </w:rPr>
      </w:pPr>
      <w:r>
        <w:rPr>
          <w:rFonts w:ascii="Verdana" w:hAnsi="Verdana"/>
        </w:rPr>
        <w:t xml:space="preserve">En consecuencia, funciona como marco de referencia para la toma de decisiones, la planificación y el desarrollo de instrumentos técnicos, garantizando coherencia y continuidad en el modelo de supervisión basado en riesgos. </w:t>
      </w:r>
    </w:p>
    <w:p w14:paraId="236D3E16" w14:textId="77777777" w:rsidR="00675A0E" w:rsidRDefault="00675A0E" w:rsidP="00675A0E">
      <w:pPr>
        <w:jc w:val="both"/>
        <w:rPr>
          <w:rFonts w:ascii="Verdana" w:hAnsi="Verdana"/>
        </w:rPr>
      </w:pPr>
      <w:r>
        <w:rPr>
          <w:rFonts w:ascii="Verdana" w:hAnsi="Verdana"/>
        </w:rPr>
        <w:t xml:space="preserve">La PISBR fortalece las capacidades de la Supersolidaria para gestionar los riesgos presentes en las ESS, lo que le permite identificar, evaluar y mitigar aquellos que puedan comprometer la estabilidad del sector solidario. De esta forma, se asegura un cumplimiento normativo sólido y se promueve la sostenibilidad del sistema. </w:t>
      </w:r>
    </w:p>
    <w:p w14:paraId="30F3A28B" w14:textId="77777777" w:rsidR="00675A0E" w:rsidRDefault="00675A0E" w:rsidP="00675A0E">
      <w:pPr>
        <w:jc w:val="both"/>
        <w:rPr>
          <w:rFonts w:ascii="Verdana" w:hAnsi="Verdana"/>
        </w:rPr>
      </w:pPr>
      <w:r>
        <w:rPr>
          <w:rFonts w:ascii="Verdana" w:hAnsi="Verdana"/>
        </w:rPr>
        <w:t xml:space="preserve">Dicho documento es el resultado de un proceso de revisión estructural del anterior Marco Integral de Supervisión (MIS), lo que permitió incorporar mejores prácticas adaptadas a la realidad del sector y a los retos que tiene la Supersolidaria en el ejercicio de sus funciones. </w:t>
      </w:r>
    </w:p>
    <w:p w14:paraId="0DAF6C17" w14:textId="77777777" w:rsidR="00675A0E" w:rsidRDefault="00675A0E" w:rsidP="00675A0E">
      <w:pPr>
        <w:jc w:val="both"/>
        <w:rPr>
          <w:rFonts w:ascii="Verdana" w:hAnsi="Verdana"/>
        </w:rPr>
      </w:pPr>
      <w:r>
        <w:rPr>
          <w:rFonts w:ascii="Verdana" w:hAnsi="Verdana"/>
        </w:rPr>
        <w:t>Así, la PISBR articula una visión integral del riesgo —que incluye dimensiones financieras, operativas, reputacionales, legales y sistémicas— y propone metodologías ajustadas a la naturaleza, tamaño, actividad económica y categoría prudencial de cada organización vigilada. Además, incorpora estrategias preventivas para ESS que asocien sujetos de especial protección constitucional. En este sentido, la política aborda la supervisión con un enfoque preventivo, proporcional, basado en riesgos y con perspectiva diferencial y territorial.</w:t>
      </w:r>
    </w:p>
    <w:p w14:paraId="1DD26DAC" w14:textId="77777777" w:rsidR="00675A0E" w:rsidRDefault="00675A0E" w:rsidP="00675A0E">
      <w:pPr>
        <w:jc w:val="both"/>
        <w:rPr>
          <w:rFonts w:ascii="Verdana" w:hAnsi="Verdana"/>
        </w:rPr>
      </w:pPr>
      <w:r>
        <w:rPr>
          <w:rFonts w:ascii="Verdana" w:hAnsi="Verdana"/>
        </w:rPr>
        <w:t>Con base en ello, se tiene que la Política se fundamenta principalmente en:</w:t>
      </w:r>
    </w:p>
    <w:p w14:paraId="2CC6259E" w14:textId="77777777" w:rsidR="00675A0E" w:rsidRDefault="00675A0E" w:rsidP="00675A0E">
      <w:pPr>
        <w:jc w:val="both"/>
        <w:rPr>
          <w:rFonts w:ascii="Verdana" w:hAnsi="Verdana"/>
        </w:rPr>
      </w:pPr>
      <w:r>
        <w:rPr>
          <w:rFonts w:ascii="Verdana" w:hAnsi="Verdana"/>
          <w:b/>
          <w:bCs/>
        </w:rPr>
        <w:t>1. Alineación con estándares internacionales</w:t>
      </w:r>
      <w:r>
        <w:rPr>
          <w:rFonts w:ascii="Verdana" w:hAnsi="Verdana"/>
        </w:rPr>
        <w:t xml:space="preserve">, particularmente los principios del Comité de Basilea (BCBS), las Recomendaciones del GAFI en materia de prevención del LA/FT/FPADM, y los lineamientos 1 de la ICURN para la supervisión diferenciada de cooperativas financieras. También considera referentes de supervisión prudencial, especialmente en segmentación proporcional, gobernanza y gestión de riesgos. </w:t>
      </w:r>
    </w:p>
    <w:p w14:paraId="489DF8D6" w14:textId="77777777" w:rsidR="00675A0E" w:rsidRDefault="00675A0E" w:rsidP="00675A0E">
      <w:pPr>
        <w:jc w:val="both"/>
        <w:rPr>
          <w:rFonts w:ascii="Verdana" w:hAnsi="Verdana"/>
        </w:rPr>
      </w:pPr>
      <w:r>
        <w:rPr>
          <w:rFonts w:ascii="Verdana" w:hAnsi="Verdana"/>
          <w:b/>
          <w:bCs/>
        </w:rPr>
        <w:lastRenderedPageBreak/>
        <w:t>2. Modelo de supervisión basado en riesgos (SBR)</w:t>
      </w:r>
      <w:r>
        <w:rPr>
          <w:rFonts w:ascii="Verdana" w:hAnsi="Verdana"/>
        </w:rPr>
        <w:t xml:space="preserve"> con proporcionalidad, que permite clasificar las ESS en función de su exposición al riesgo, su impacto potencial en el sistema y su capacidad de gestión, con el propósito de asignar parámetros diferenciados de supervisión, priorizar recursos y diseñar estrategias preventivas e institutos de salvamento. </w:t>
      </w:r>
    </w:p>
    <w:p w14:paraId="6F600CCB" w14:textId="77777777" w:rsidR="00675A0E" w:rsidRDefault="00675A0E" w:rsidP="00675A0E">
      <w:pPr>
        <w:jc w:val="both"/>
        <w:rPr>
          <w:rFonts w:ascii="Verdana" w:hAnsi="Verdana"/>
        </w:rPr>
      </w:pPr>
      <w:r>
        <w:rPr>
          <w:rFonts w:ascii="Verdana" w:hAnsi="Verdana"/>
          <w:b/>
          <w:bCs/>
        </w:rPr>
        <w:t>3. Incorporación de metodologías de análisis y segmentación</w:t>
      </w:r>
      <w:r>
        <w:rPr>
          <w:rFonts w:ascii="Verdana" w:hAnsi="Verdana"/>
        </w:rPr>
        <w:t xml:space="preserve"> La política incorpora metodologías que clasifican a las ESS no solo por su actividad (subsector de ahorro y crédito o subsector real), sino también por su forma asociativa, nivel de activos, entre otros criterios. Estas variables permiten anticipar riesgos emergentes, definir acciones tempranas y focalizar el acompañamiento técnico. </w:t>
      </w:r>
    </w:p>
    <w:p w14:paraId="52D7CCE5" w14:textId="77777777" w:rsidR="00675A0E" w:rsidRDefault="00675A0E" w:rsidP="00675A0E">
      <w:pPr>
        <w:jc w:val="both"/>
        <w:rPr>
          <w:rFonts w:ascii="Verdana" w:hAnsi="Verdana"/>
        </w:rPr>
      </w:pPr>
      <w:r>
        <w:rPr>
          <w:rFonts w:ascii="Verdana" w:hAnsi="Verdana"/>
          <w:b/>
          <w:bCs/>
        </w:rPr>
        <w:t>4. Fortalecimiento del ciclo de supervisión</w:t>
      </w:r>
      <w:r>
        <w:rPr>
          <w:rFonts w:ascii="Verdana" w:hAnsi="Verdana"/>
        </w:rPr>
        <w:t xml:space="preserve"> mediante la incorporación de herramientas como alertas tempranas, vigilancia especial, planes de recuperación y otros institutos de salvamento. También contempla medidas no sancionatorias previstas en el marco legal, priorizando la prevención sobre la reacción ante eventos adversos. </w:t>
      </w:r>
    </w:p>
    <w:p w14:paraId="3BDC3E7D" w14:textId="77777777" w:rsidR="00675A0E" w:rsidRDefault="00675A0E" w:rsidP="00675A0E">
      <w:pPr>
        <w:jc w:val="both"/>
        <w:rPr>
          <w:rFonts w:ascii="Verdana" w:hAnsi="Verdana"/>
        </w:rPr>
      </w:pPr>
      <w:r>
        <w:rPr>
          <w:rFonts w:ascii="Verdana" w:hAnsi="Verdana"/>
          <w:b/>
          <w:bCs/>
        </w:rPr>
        <w:t>5. Adopción de una perspectiva transversal de gobierno corporativo y transformación digital</w:t>
      </w:r>
      <w:r>
        <w:rPr>
          <w:rFonts w:ascii="Verdana" w:hAnsi="Verdana"/>
        </w:rPr>
        <w:t xml:space="preserve">, con el establecimiento de una hoja de ruta que promueve el fortalecimiento institucional mediante la emisión de lineamientos e instrucciones sobre buenas prácticas de gobernanza, participación y control social interno. Asimismo, impulsa acciones de transformación digital y la identificación de riesgos emergentes. </w:t>
      </w:r>
    </w:p>
    <w:p w14:paraId="0B561E53" w14:textId="77777777" w:rsidR="00675A0E" w:rsidRDefault="00675A0E" w:rsidP="00675A0E">
      <w:pPr>
        <w:jc w:val="both"/>
        <w:rPr>
          <w:rFonts w:ascii="Verdana" w:hAnsi="Verdana"/>
        </w:rPr>
      </w:pPr>
      <w:r>
        <w:rPr>
          <w:rFonts w:ascii="Verdana" w:hAnsi="Verdana"/>
          <w:b/>
          <w:bCs/>
        </w:rPr>
        <w:t>6. Transición hacia una supervisión inteligente y analítica</w:t>
      </w:r>
      <w:r>
        <w:rPr>
          <w:rFonts w:ascii="Verdana" w:hAnsi="Verdana"/>
        </w:rPr>
        <w:t xml:space="preserve"> con la incorporación progresiva de tecnologías de la información y la interoperabilidad entre sistemas. Esto permite una supervisión más eficiente, proactiva y adaptada a los desafíos digitales. </w:t>
      </w:r>
    </w:p>
    <w:p w14:paraId="6E5253A4" w14:textId="1E59E313" w:rsidR="00675A0E" w:rsidRPr="00675A0E" w:rsidRDefault="00675A0E" w:rsidP="00675A0E">
      <w:pPr>
        <w:jc w:val="both"/>
        <w:rPr>
          <w:rFonts w:ascii="Verdana" w:hAnsi="Verdana"/>
        </w:rPr>
      </w:pPr>
      <w:r>
        <w:rPr>
          <w:rFonts w:ascii="Verdana" w:hAnsi="Verdana"/>
          <w:b/>
          <w:bCs/>
        </w:rPr>
        <w:t>7</w:t>
      </w:r>
      <w:r>
        <w:rPr>
          <w:rFonts w:ascii="Verdana" w:hAnsi="Verdana"/>
        </w:rPr>
        <w:t xml:space="preserve">. La </w:t>
      </w:r>
      <w:r>
        <w:rPr>
          <w:rFonts w:ascii="Verdana" w:hAnsi="Verdana"/>
          <w:b/>
          <w:bCs/>
        </w:rPr>
        <w:t>PISBR es un</w:t>
      </w:r>
      <w:r>
        <w:rPr>
          <w:rFonts w:ascii="Verdana" w:hAnsi="Verdana"/>
        </w:rPr>
        <w:t xml:space="preserve"> </w:t>
      </w:r>
      <w:r>
        <w:rPr>
          <w:rFonts w:ascii="Verdana" w:hAnsi="Verdana"/>
          <w:b/>
          <w:bCs/>
        </w:rPr>
        <w:t>documento rector</w:t>
      </w:r>
      <w:r>
        <w:rPr>
          <w:rFonts w:ascii="Verdana" w:hAnsi="Verdana"/>
        </w:rPr>
        <w:t xml:space="preserve"> de política pública que orienta la acción de la Superintendencia de la Economía Solidaria para fortalecer la estabilidad del sector, salvaguardar los recursos de los asociados, consolidar la confianza ciudadana en las organizaciones solidarias y aportar a la </w:t>
      </w:r>
      <w:r>
        <w:rPr>
          <w:rFonts w:ascii="Verdana" w:hAnsi="Verdana"/>
        </w:rPr>
        <w:lastRenderedPageBreak/>
        <w:t xml:space="preserve">democratización de la economía, bajo un enfoque de supervisión inteligente, pedagógica y estratégica.  </w:t>
      </w:r>
    </w:p>
    <w:p w14:paraId="58BAD8FA" w14:textId="77777777" w:rsidR="00B40A0A" w:rsidRPr="00B40A0A" w:rsidRDefault="00B40A0A" w:rsidP="00FC6F93">
      <w:pPr>
        <w:pStyle w:val="Prrafodelista"/>
        <w:spacing w:line="256" w:lineRule="auto"/>
        <w:jc w:val="both"/>
        <w:rPr>
          <w:rFonts w:ascii="Verdana" w:hAnsi="Verdana"/>
          <w:b/>
          <w:bCs/>
        </w:rPr>
      </w:pPr>
    </w:p>
    <w:p w14:paraId="66B9F6F2" w14:textId="193E7290" w:rsidR="00E53A04" w:rsidRPr="002F2DB3"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¿Cuál es el estado de situación financiera, por niveles de supervisión, de cada organización supervisada? por cada nivel se indique: bueno, regular, malo. </w:t>
      </w:r>
    </w:p>
    <w:p w14:paraId="07438E0A" w14:textId="484A1658" w:rsidR="00E53A04" w:rsidRDefault="00E53A04" w:rsidP="00E53A04">
      <w:pPr>
        <w:pStyle w:val="Prrafodelista"/>
        <w:jc w:val="both"/>
        <w:rPr>
          <w:rFonts w:ascii="Verdana" w:hAnsi="Verdana"/>
          <w:b/>
          <w:bCs/>
        </w:rPr>
      </w:pPr>
    </w:p>
    <w:p w14:paraId="49AC5E95" w14:textId="30087C33" w:rsidR="00B63B15" w:rsidRPr="00275F3A" w:rsidRDefault="00B63B15" w:rsidP="00275F3A">
      <w:pPr>
        <w:jc w:val="both"/>
        <w:rPr>
          <w:rFonts w:ascii="Verdana" w:hAnsi="Verdana"/>
        </w:rPr>
      </w:pPr>
      <w:r w:rsidRPr="00275F3A">
        <w:rPr>
          <w:rFonts w:ascii="Verdana" w:hAnsi="Verdana"/>
        </w:rPr>
        <w:t xml:space="preserve">La Delegatura para la Supervisión de la Actividad Financiera </w:t>
      </w:r>
      <w:r w:rsidR="00261B4E" w:rsidRPr="00275F3A">
        <w:rPr>
          <w:rFonts w:ascii="Verdana" w:hAnsi="Verdana"/>
        </w:rPr>
        <w:t xml:space="preserve">en el Cooperativismo </w:t>
      </w:r>
      <w:r w:rsidRPr="00275F3A">
        <w:rPr>
          <w:rFonts w:ascii="Verdana" w:hAnsi="Verdana"/>
        </w:rPr>
        <w:t xml:space="preserve">ejerce vigilancia sobre organizaciones </w:t>
      </w:r>
      <w:r w:rsidR="00261B4E" w:rsidRPr="00275F3A">
        <w:rPr>
          <w:rFonts w:ascii="Verdana" w:hAnsi="Verdana"/>
        </w:rPr>
        <w:t>que integran el primer</w:t>
      </w:r>
      <w:r w:rsidRPr="00275F3A">
        <w:rPr>
          <w:rFonts w:ascii="Verdana" w:hAnsi="Verdana"/>
        </w:rPr>
        <w:t xml:space="preserve"> nivel de supervisión</w:t>
      </w:r>
      <w:r w:rsidR="00261B4E" w:rsidRPr="00275F3A">
        <w:rPr>
          <w:rFonts w:ascii="Verdana" w:hAnsi="Verdana"/>
        </w:rPr>
        <w:t>, estas son las Cooperativas de Ahorro y Crédito, sobre las cuales la vigilancia que ejercen es de forma permanente y su monitoreo basado en alertamientos se realiza de forma mensual gracias a los reportes de información a los que están obligadas a realizar</w:t>
      </w:r>
      <w:r w:rsidRPr="00275F3A">
        <w:rPr>
          <w:rFonts w:ascii="Verdana" w:hAnsi="Verdana"/>
        </w:rPr>
        <w:t xml:space="preserve">. Con base en los resultados obtenidos, es posible afirmar que estas entidades mantienen una situación financiera sólida y estable, por lo que, en los términos de la pregunta, </w:t>
      </w:r>
      <w:r w:rsidR="00261B4E" w:rsidRPr="00275F3A">
        <w:rPr>
          <w:rFonts w:ascii="Verdana" w:hAnsi="Verdana"/>
        </w:rPr>
        <w:t>se considera</w:t>
      </w:r>
      <w:r w:rsidRPr="00275F3A">
        <w:rPr>
          <w:rFonts w:ascii="Verdana" w:hAnsi="Verdana"/>
        </w:rPr>
        <w:t xml:space="preserve"> “Bueno”.</w:t>
      </w:r>
    </w:p>
    <w:p w14:paraId="5F5E6B11" w14:textId="77777777" w:rsidR="00B63B15" w:rsidRPr="004F0D53" w:rsidRDefault="00B63B15" w:rsidP="00E53A04">
      <w:pPr>
        <w:pStyle w:val="Prrafodelista"/>
        <w:jc w:val="both"/>
        <w:rPr>
          <w:rFonts w:ascii="Verdana" w:hAnsi="Verdana"/>
          <w:b/>
          <w:bCs/>
        </w:rPr>
      </w:pPr>
    </w:p>
    <w:p w14:paraId="114A21BC" w14:textId="5ACF39F2" w:rsidR="00E53A04" w:rsidRPr="002E190F" w:rsidRDefault="00E53A04" w:rsidP="00E53A04">
      <w:pPr>
        <w:pStyle w:val="Prrafodelista"/>
        <w:numPr>
          <w:ilvl w:val="0"/>
          <w:numId w:val="30"/>
        </w:numPr>
        <w:spacing w:line="256" w:lineRule="auto"/>
        <w:jc w:val="both"/>
        <w:rPr>
          <w:rFonts w:ascii="Verdana" w:hAnsi="Verdana"/>
          <w:b/>
          <w:bCs/>
        </w:rPr>
      </w:pPr>
      <w:r w:rsidRPr="002E190F">
        <w:rPr>
          <w:rFonts w:ascii="Verdana" w:hAnsi="Verdana"/>
          <w:b/>
          <w:bCs/>
        </w:rPr>
        <w:t xml:space="preserve">¿Cuáles son los principales criterios en que se basa la Supersolidaria para elegir las entidades y realizarle requerimientos? </w:t>
      </w:r>
    </w:p>
    <w:p w14:paraId="63FCDFD8" w14:textId="1354BC74" w:rsidR="00E53A04" w:rsidRDefault="00E53A04" w:rsidP="00E53A04">
      <w:pPr>
        <w:pStyle w:val="Prrafodelista"/>
        <w:jc w:val="both"/>
        <w:rPr>
          <w:rFonts w:ascii="Verdana" w:hAnsi="Verdana"/>
        </w:rPr>
      </w:pPr>
    </w:p>
    <w:p w14:paraId="62104716" w14:textId="01FD537C" w:rsidR="006D51E8" w:rsidRPr="00275F3A" w:rsidRDefault="006D51E8" w:rsidP="00275F3A">
      <w:pPr>
        <w:jc w:val="both"/>
        <w:rPr>
          <w:rFonts w:ascii="Verdana" w:hAnsi="Verdana"/>
        </w:rPr>
      </w:pPr>
      <w:r w:rsidRPr="00275F3A">
        <w:rPr>
          <w:rFonts w:ascii="Verdana" w:hAnsi="Verdana"/>
        </w:rPr>
        <w:t>La Delegatura mantiene un ejercicio permanente de supervisión sobre las 175 cooperativas de ahorro y crédito que ejercen la actividad financiera en el subsector de ahorro</w:t>
      </w:r>
      <w:r w:rsidR="00261B4E" w:rsidRPr="00275F3A">
        <w:rPr>
          <w:rFonts w:ascii="Verdana" w:hAnsi="Verdana"/>
        </w:rPr>
        <w:t xml:space="preserve"> y crédito de la Economía Solidaria</w:t>
      </w:r>
      <w:r w:rsidRPr="00275F3A">
        <w:rPr>
          <w:rFonts w:ascii="Verdana" w:hAnsi="Verdana"/>
        </w:rPr>
        <w:t xml:space="preserve">. Este ejercicio está íntegramente ligado al Sistema de Administración de Riesgos de las organizaciones vigiladas, lo que busca el cumplimiento de los estándares de eficiencia y eficacia de las organizaciones. </w:t>
      </w:r>
    </w:p>
    <w:p w14:paraId="0C5D7BEE" w14:textId="7D9937E9" w:rsidR="00B63B15" w:rsidRPr="00275F3A" w:rsidRDefault="006D51E8" w:rsidP="00275F3A">
      <w:pPr>
        <w:jc w:val="both"/>
        <w:rPr>
          <w:rFonts w:ascii="Verdana" w:hAnsi="Verdana"/>
        </w:rPr>
      </w:pPr>
      <w:r w:rsidRPr="00275F3A">
        <w:rPr>
          <w:rFonts w:ascii="Verdana" w:hAnsi="Verdana"/>
        </w:rPr>
        <w:t xml:space="preserve">La estrategia de supervisión se enfoca en la emisión de lineamientos </w:t>
      </w:r>
      <w:r w:rsidR="00261B4E" w:rsidRPr="00275F3A">
        <w:rPr>
          <w:rFonts w:ascii="Verdana" w:hAnsi="Verdana"/>
        </w:rPr>
        <w:t xml:space="preserve">de acuerdo con la evaluación de su nivel de exposición a los riesgos asociados a la actividad financiera </w:t>
      </w:r>
      <w:r w:rsidRPr="00275F3A">
        <w:rPr>
          <w:rFonts w:ascii="Verdana" w:hAnsi="Verdana"/>
        </w:rPr>
        <w:t xml:space="preserve">y en la verificación del cumplimiento normativo para asegurar la eficiencia y transparencia, el cual se articula principalmente mediante evaluaciones de estados financieros, Evaluaciones </w:t>
      </w:r>
      <w:proofErr w:type="spellStart"/>
      <w:r w:rsidRPr="00275F3A">
        <w:rPr>
          <w:rFonts w:ascii="Verdana" w:hAnsi="Verdana"/>
        </w:rPr>
        <w:t>Extrasitu</w:t>
      </w:r>
      <w:proofErr w:type="spellEnd"/>
      <w:r w:rsidRPr="00275F3A">
        <w:rPr>
          <w:rFonts w:ascii="Verdana" w:hAnsi="Verdana"/>
        </w:rPr>
        <w:t xml:space="preserve">, </w:t>
      </w:r>
      <w:r w:rsidRPr="00275F3A">
        <w:rPr>
          <w:rFonts w:ascii="Verdana" w:hAnsi="Verdana"/>
        </w:rPr>
        <w:lastRenderedPageBreak/>
        <w:t xml:space="preserve">ordenamientos de ajustes y visitas o jornadas de inspección, a partir de la evidencia aportadas por estas actividades los criterios para realizar requerimientos se basan específicamente en: </w:t>
      </w:r>
    </w:p>
    <w:p w14:paraId="25C1FCF1" w14:textId="77777777" w:rsidR="006D51E8" w:rsidRDefault="006D51E8" w:rsidP="006D51E8">
      <w:pPr>
        <w:pStyle w:val="Prrafodelista"/>
        <w:jc w:val="both"/>
        <w:rPr>
          <w:rFonts w:ascii="Verdana" w:hAnsi="Verdana"/>
        </w:rPr>
      </w:pPr>
    </w:p>
    <w:p w14:paraId="5942345C" w14:textId="77777777" w:rsidR="006D51E8" w:rsidRPr="006D51E8" w:rsidRDefault="006D51E8" w:rsidP="006D51E8">
      <w:pPr>
        <w:pStyle w:val="Prrafodelista"/>
        <w:numPr>
          <w:ilvl w:val="0"/>
          <w:numId w:val="30"/>
        </w:numPr>
        <w:ind w:left="1440"/>
        <w:jc w:val="both"/>
        <w:rPr>
          <w:rFonts w:ascii="Verdana" w:hAnsi="Verdana"/>
        </w:rPr>
      </w:pPr>
      <w:r w:rsidRPr="006D51E8">
        <w:rPr>
          <w:rFonts w:ascii="Verdana" w:hAnsi="Verdana"/>
        </w:rPr>
        <w:t>Evidencia de incumplimientos normativos: Faltas directas a la regulación vigente.</w:t>
      </w:r>
    </w:p>
    <w:p w14:paraId="5BDF8EE7" w14:textId="77777777" w:rsidR="006D51E8" w:rsidRPr="006D51E8" w:rsidRDefault="006D51E8" w:rsidP="006D51E8">
      <w:pPr>
        <w:pStyle w:val="Prrafodelista"/>
        <w:ind w:left="1440"/>
        <w:jc w:val="both"/>
        <w:rPr>
          <w:rFonts w:ascii="Verdana" w:hAnsi="Verdana"/>
        </w:rPr>
      </w:pPr>
    </w:p>
    <w:p w14:paraId="390BB9D3" w14:textId="32A58841" w:rsidR="006D51E8" w:rsidRPr="002E190F" w:rsidRDefault="006D51E8" w:rsidP="006D51E8">
      <w:pPr>
        <w:pStyle w:val="Prrafodelista"/>
        <w:numPr>
          <w:ilvl w:val="0"/>
          <w:numId w:val="30"/>
        </w:numPr>
        <w:ind w:left="1440"/>
        <w:jc w:val="both"/>
        <w:rPr>
          <w:rFonts w:ascii="Verdana" w:hAnsi="Verdana"/>
        </w:rPr>
      </w:pPr>
      <w:r w:rsidRPr="006D51E8">
        <w:rPr>
          <w:rFonts w:ascii="Verdana" w:hAnsi="Verdana"/>
        </w:rPr>
        <w:t>Identificación de riesgos: Detección de amenazas latentes o evidentes que puedan comprometer la solidez de la entidad o los ahorros de sus asociados</w:t>
      </w:r>
      <w:r>
        <w:rPr>
          <w:rFonts w:ascii="Verdana" w:hAnsi="Verdana"/>
        </w:rPr>
        <w:t>.</w:t>
      </w:r>
    </w:p>
    <w:p w14:paraId="57536850" w14:textId="77777777" w:rsidR="006D51E8" w:rsidRPr="000743C5" w:rsidRDefault="006D51E8" w:rsidP="006D51E8">
      <w:pPr>
        <w:pStyle w:val="Prrafodelista"/>
        <w:jc w:val="both"/>
        <w:rPr>
          <w:rFonts w:ascii="Verdana" w:hAnsi="Verdana"/>
        </w:rPr>
      </w:pPr>
    </w:p>
    <w:p w14:paraId="7724444C" w14:textId="05EFBB08" w:rsidR="00E53A04" w:rsidRPr="00D81A18" w:rsidRDefault="00E53A04" w:rsidP="00E53A04">
      <w:pPr>
        <w:pStyle w:val="Prrafodelista"/>
        <w:numPr>
          <w:ilvl w:val="0"/>
          <w:numId w:val="30"/>
        </w:numPr>
        <w:spacing w:line="256" w:lineRule="auto"/>
        <w:jc w:val="both"/>
        <w:rPr>
          <w:rFonts w:ascii="Verdana" w:hAnsi="Verdana"/>
          <w:b/>
          <w:bCs/>
        </w:rPr>
      </w:pPr>
      <w:bookmarkStart w:id="0" w:name="_Hlk217372454"/>
      <w:r w:rsidRPr="00D81A18">
        <w:rPr>
          <w:rFonts w:ascii="Verdana" w:hAnsi="Verdana"/>
          <w:b/>
          <w:bCs/>
        </w:rPr>
        <w:t>¿Qué tiempo tomara bien la implementación del sistema ADA? junto con una capacitación desde 0 ya que la secuencia creo que no es la apropiada parta el aprendizaje</w:t>
      </w:r>
    </w:p>
    <w:bookmarkEnd w:id="0"/>
    <w:p w14:paraId="7810A33F" w14:textId="052B2D2C" w:rsidR="00B35787" w:rsidRPr="00B35787" w:rsidRDefault="00B35787" w:rsidP="00B35787">
      <w:pPr>
        <w:jc w:val="both"/>
        <w:rPr>
          <w:rFonts w:ascii="Verdana" w:hAnsi="Verdana"/>
        </w:rPr>
      </w:pPr>
      <w:r w:rsidRPr="00B35787">
        <w:rPr>
          <w:rFonts w:ascii="Verdana" w:hAnsi="Verdana"/>
        </w:rPr>
        <w:t>De acuerdo con el cronograma oficial</w:t>
      </w:r>
      <w:r>
        <w:rPr>
          <w:rFonts w:ascii="Verdana" w:hAnsi="Verdana"/>
        </w:rPr>
        <w:t xml:space="preserve"> publicado para la adopción del Sistema de Información Misional ADA mediante la Circular Externa 90 del 8 de octubre de 2025</w:t>
      </w:r>
      <w:r w:rsidRPr="00B35787">
        <w:rPr>
          <w:rFonts w:ascii="Verdana" w:hAnsi="Verdana"/>
        </w:rPr>
        <w:t>, el proceso de implementación tiene un periodo de transición de 4 meses, diseñado específicamente para que las entidades se familiaricen con la plataforma.</w:t>
      </w:r>
      <w:r>
        <w:rPr>
          <w:rFonts w:ascii="Verdana" w:hAnsi="Verdana"/>
        </w:rPr>
        <w:t xml:space="preserve"> Este periodo de transición va desde </w:t>
      </w:r>
      <w:r w:rsidRPr="00B35787">
        <w:rPr>
          <w:rFonts w:ascii="Verdana" w:hAnsi="Verdana"/>
        </w:rPr>
        <w:t>el 1 de septiembre de 2025 hasta el 31 de diciembre de 2025.</w:t>
      </w:r>
    </w:p>
    <w:p w14:paraId="3153B102" w14:textId="2B2FE4AE" w:rsidR="00B35787" w:rsidRPr="00B35787" w:rsidRDefault="00B35787" w:rsidP="00B35787">
      <w:pPr>
        <w:jc w:val="both"/>
        <w:rPr>
          <w:rFonts w:ascii="Verdana" w:hAnsi="Verdana"/>
        </w:rPr>
      </w:pPr>
      <w:r>
        <w:rPr>
          <w:rFonts w:ascii="Verdana" w:hAnsi="Verdana"/>
        </w:rPr>
        <w:t>A partir de este periodo, la circular establece que la i</w:t>
      </w:r>
      <w:r w:rsidRPr="00B35787">
        <w:rPr>
          <w:rFonts w:ascii="Verdana" w:hAnsi="Verdana"/>
        </w:rPr>
        <w:t xml:space="preserve">mplementación </w:t>
      </w:r>
      <w:r>
        <w:rPr>
          <w:rFonts w:ascii="Verdana" w:hAnsi="Verdana"/>
        </w:rPr>
        <w:t xml:space="preserve">total se da aparte del </w:t>
      </w:r>
      <w:r w:rsidRPr="00B35787">
        <w:rPr>
          <w:rFonts w:ascii="Verdana" w:hAnsi="Verdana"/>
        </w:rPr>
        <w:t>reporte con corte a 31 de diciembre de 2025 (que se presenta en enero de 2026), el uso del sistema ADA será obligatorio y exclusivo para todos los niveles de supervisión.</w:t>
      </w:r>
    </w:p>
    <w:p w14:paraId="72BA5CC9" w14:textId="6594D32E" w:rsidR="00B35787" w:rsidRPr="00B35787" w:rsidRDefault="00B35787" w:rsidP="00B35787">
      <w:pPr>
        <w:jc w:val="both"/>
        <w:rPr>
          <w:rFonts w:ascii="Verdana" w:hAnsi="Verdana"/>
        </w:rPr>
      </w:pPr>
      <w:r w:rsidRPr="00B35787">
        <w:rPr>
          <w:rFonts w:ascii="Verdana" w:hAnsi="Verdana"/>
        </w:rPr>
        <w:t>Sobre la capacitación desde cero</w:t>
      </w:r>
      <w:r w:rsidR="00D20A44">
        <w:rPr>
          <w:rFonts w:ascii="Verdana" w:hAnsi="Verdana"/>
        </w:rPr>
        <w:t>,</w:t>
      </w:r>
      <w:r w:rsidRPr="00B35787">
        <w:rPr>
          <w:rFonts w:ascii="Verdana" w:hAnsi="Verdana"/>
        </w:rPr>
        <w:t xml:space="preserve"> </w:t>
      </w:r>
      <w:r w:rsidR="00D20A44">
        <w:rPr>
          <w:rFonts w:ascii="Verdana" w:hAnsi="Verdana"/>
        </w:rPr>
        <w:t>l</w:t>
      </w:r>
      <w:r w:rsidRPr="00B35787">
        <w:rPr>
          <w:rFonts w:ascii="Verdana" w:hAnsi="Verdana"/>
        </w:rPr>
        <w:t xml:space="preserve">a Superintendencia ha establecido que, para facilitar el aprendizaje y corregir las dificultades </w:t>
      </w:r>
      <w:r w:rsidR="00D20A44">
        <w:rPr>
          <w:rFonts w:ascii="Verdana" w:hAnsi="Verdana"/>
        </w:rPr>
        <w:t xml:space="preserve">presentadas para el reporte desde el mes de septiembre se desplegó un esquema de capacitación </w:t>
      </w:r>
      <w:r w:rsidRPr="00B35787">
        <w:rPr>
          <w:rFonts w:ascii="Verdana" w:hAnsi="Verdana"/>
        </w:rPr>
        <w:t>que incluy</w:t>
      </w:r>
      <w:r w:rsidR="00D20A44">
        <w:rPr>
          <w:rFonts w:ascii="Verdana" w:hAnsi="Verdana"/>
        </w:rPr>
        <w:t>ó:</w:t>
      </w:r>
    </w:p>
    <w:p w14:paraId="3747588D" w14:textId="77777777" w:rsidR="00D20A44" w:rsidRDefault="00B35787" w:rsidP="00B35787">
      <w:pPr>
        <w:pStyle w:val="Prrafodelista"/>
        <w:numPr>
          <w:ilvl w:val="0"/>
          <w:numId w:val="46"/>
        </w:numPr>
        <w:jc w:val="both"/>
        <w:rPr>
          <w:rFonts w:ascii="Verdana" w:hAnsi="Verdana"/>
        </w:rPr>
      </w:pPr>
      <w:r w:rsidRPr="00D20A44">
        <w:rPr>
          <w:rFonts w:ascii="Verdana" w:hAnsi="Verdana"/>
        </w:rPr>
        <w:t xml:space="preserve">Capacitaciones periódicas: Dirigidas a todos los niveles de supervisión para familiarizar a las entidades con el módulo y resolver dudas </w:t>
      </w:r>
      <w:r w:rsidRPr="00D20A44">
        <w:rPr>
          <w:rFonts w:ascii="Verdana" w:hAnsi="Verdana"/>
        </w:rPr>
        <w:lastRenderedPageBreak/>
        <w:t>operativas.</w:t>
      </w:r>
      <w:r w:rsidR="00D20A44">
        <w:rPr>
          <w:rFonts w:ascii="Verdana" w:hAnsi="Verdana"/>
        </w:rPr>
        <w:t xml:space="preserve"> Estás se realizan todos los martes y jueves y actualmente se encuentran vigentes.</w:t>
      </w:r>
    </w:p>
    <w:p w14:paraId="53821762" w14:textId="38D12DA1" w:rsidR="00D20A44" w:rsidRPr="00D20A44" w:rsidRDefault="00B35787" w:rsidP="00D20A44">
      <w:pPr>
        <w:pStyle w:val="Prrafodelista"/>
        <w:numPr>
          <w:ilvl w:val="0"/>
          <w:numId w:val="46"/>
        </w:numPr>
        <w:jc w:val="both"/>
        <w:rPr>
          <w:rFonts w:ascii="Verdana" w:hAnsi="Verdana"/>
        </w:rPr>
      </w:pPr>
      <w:r w:rsidRPr="00D20A44">
        <w:rPr>
          <w:rFonts w:ascii="Verdana" w:hAnsi="Verdana"/>
        </w:rPr>
        <w:t>Material de apoyo: Se pu</w:t>
      </w:r>
      <w:r w:rsidR="00D20A44">
        <w:rPr>
          <w:rFonts w:ascii="Verdana" w:hAnsi="Verdana"/>
        </w:rPr>
        <w:t>blicaron diferentes herramientas sobre funcionalidades básicas con el fin de fomentar el uso de la plataforma.</w:t>
      </w:r>
    </w:p>
    <w:p w14:paraId="455D07DA" w14:textId="143E3EB7" w:rsidR="00E53A04" w:rsidRPr="004F0D53" w:rsidRDefault="00D20A44" w:rsidP="00D20A44">
      <w:pPr>
        <w:jc w:val="both"/>
        <w:rPr>
          <w:rFonts w:ascii="Verdana" w:hAnsi="Verdana"/>
        </w:rPr>
      </w:pPr>
      <w:r>
        <w:rPr>
          <w:rFonts w:ascii="Verdana" w:hAnsi="Verdana"/>
        </w:rPr>
        <w:t>El fin d</w:t>
      </w:r>
      <w:r w:rsidR="00B35787" w:rsidRPr="00D20A44">
        <w:rPr>
          <w:rFonts w:ascii="Verdana" w:hAnsi="Verdana"/>
        </w:rPr>
        <w:t>e estas capacitaciones es</w:t>
      </w:r>
      <w:r>
        <w:rPr>
          <w:rFonts w:ascii="Verdana" w:hAnsi="Verdana"/>
        </w:rPr>
        <w:t xml:space="preserve"> promover</w:t>
      </w:r>
      <w:r w:rsidR="00B35787" w:rsidRPr="00D20A44">
        <w:rPr>
          <w:rFonts w:ascii="Verdana" w:hAnsi="Verdana"/>
        </w:rPr>
        <w:t xml:space="preserve"> una transición adecuada</w:t>
      </w:r>
      <w:r>
        <w:rPr>
          <w:rFonts w:ascii="Verdana" w:hAnsi="Verdana"/>
        </w:rPr>
        <w:t xml:space="preserve">, </w:t>
      </w:r>
      <w:r w:rsidR="00B35787" w:rsidRPr="00D20A44">
        <w:rPr>
          <w:rFonts w:ascii="Verdana" w:hAnsi="Verdana"/>
        </w:rPr>
        <w:t>y orientar sobre las buenas prácticas de</w:t>
      </w:r>
      <w:r>
        <w:rPr>
          <w:rFonts w:ascii="Verdana" w:hAnsi="Verdana"/>
        </w:rPr>
        <w:t>l reporte de información.</w:t>
      </w:r>
    </w:p>
    <w:p w14:paraId="1D0313EF" w14:textId="15440D5B" w:rsidR="00E53A04" w:rsidRPr="002F2DB3"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w:t>
      </w:r>
      <w:r w:rsidR="00031ED0" w:rsidRPr="002F2DB3">
        <w:rPr>
          <w:rFonts w:ascii="Verdana" w:hAnsi="Verdana"/>
          <w:b/>
          <w:bCs/>
        </w:rPr>
        <w:t>C</w:t>
      </w:r>
      <w:r w:rsidRPr="002F2DB3">
        <w:rPr>
          <w:rFonts w:ascii="Verdana" w:hAnsi="Verdana"/>
          <w:b/>
          <w:bCs/>
        </w:rPr>
        <w:t xml:space="preserve">uáles son las consecuencias para las entidades que no cumplan con </w:t>
      </w:r>
      <w:bookmarkStart w:id="1" w:name="_Hlk217299086"/>
      <w:r w:rsidRPr="002F2DB3">
        <w:rPr>
          <w:rFonts w:ascii="Verdana" w:hAnsi="Verdana"/>
          <w:b/>
          <w:bCs/>
        </w:rPr>
        <w:t xml:space="preserve">los plazos o requisitos </w:t>
      </w:r>
      <w:bookmarkEnd w:id="1"/>
      <w:r w:rsidRPr="002F2DB3">
        <w:rPr>
          <w:rFonts w:ascii="Verdana" w:hAnsi="Verdana"/>
          <w:b/>
          <w:bCs/>
        </w:rPr>
        <w:t xml:space="preserve">de la Rendición de Cuentas? </w:t>
      </w:r>
    </w:p>
    <w:p w14:paraId="2B137A2B" w14:textId="77777777" w:rsidR="005F4625" w:rsidRPr="005F4625" w:rsidRDefault="005F4625" w:rsidP="005F4625">
      <w:pPr>
        <w:pStyle w:val="Prrafodelista"/>
        <w:rPr>
          <w:rFonts w:ascii="Verdana" w:hAnsi="Verdana"/>
          <w:b/>
          <w:bCs/>
          <w:highlight w:val="yellow"/>
        </w:rPr>
      </w:pPr>
    </w:p>
    <w:p w14:paraId="400FBD7B" w14:textId="15146284" w:rsidR="00DD55B4" w:rsidRPr="00275F3A" w:rsidRDefault="00DD55B4" w:rsidP="00275F3A">
      <w:pPr>
        <w:jc w:val="both"/>
        <w:rPr>
          <w:rFonts w:ascii="Verdana" w:hAnsi="Verdana"/>
        </w:rPr>
      </w:pPr>
      <w:r w:rsidRPr="00275F3A">
        <w:rPr>
          <w:rFonts w:ascii="Verdana" w:hAnsi="Verdana"/>
        </w:rPr>
        <w:t xml:space="preserve">Es preciso aclarar que, si por </w:t>
      </w:r>
      <w:r w:rsidRPr="00275F3A">
        <w:rPr>
          <w:rFonts w:ascii="Verdana" w:hAnsi="Verdana"/>
          <w:i/>
          <w:iCs/>
        </w:rPr>
        <w:t>'plazos o requisitos de la rendición de cuentas</w:t>
      </w:r>
      <w:r w:rsidRPr="00275F3A">
        <w:rPr>
          <w:rFonts w:ascii="Verdana" w:hAnsi="Verdana"/>
        </w:rPr>
        <w:t xml:space="preserve">' se hace referencia a la reunión ordinaria de la Asamblea General, estos se rigen por el artículo 28 de la Ley 79 de 1988. Asimismo, el control de su cumplimiento está reglamentado en el Capítulo XI, Título II de la Circular Básica Jurídica (modificado por la Circular Externa </w:t>
      </w:r>
      <w:proofErr w:type="spellStart"/>
      <w:r w:rsidRPr="00275F3A">
        <w:rPr>
          <w:rFonts w:ascii="Verdana" w:hAnsi="Verdana"/>
        </w:rPr>
        <w:t>N°</w:t>
      </w:r>
      <w:proofErr w:type="spellEnd"/>
      <w:r w:rsidRPr="00275F3A">
        <w:rPr>
          <w:rFonts w:ascii="Verdana" w:hAnsi="Verdana"/>
        </w:rPr>
        <w:t xml:space="preserve"> 79 del 13 de marzo de 2025).</w:t>
      </w:r>
    </w:p>
    <w:p w14:paraId="1CC3EE01" w14:textId="4A14179A" w:rsidR="00964A84" w:rsidRPr="00964A84" w:rsidRDefault="00DD55B4" w:rsidP="00964A84">
      <w:pPr>
        <w:jc w:val="both"/>
        <w:rPr>
          <w:rFonts w:ascii="Verdana" w:hAnsi="Verdana"/>
        </w:rPr>
      </w:pPr>
      <w:r w:rsidRPr="00275F3A">
        <w:rPr>
          <w:rFonts w:ascii="Verdana" w:hAnsi="Verdana"/>
        </w:rPr>
        <w:t>Ante la existencia de irregularidades en su realización, la Superintendencia podrá pronunciarse en ejercicio de sus facultades legales (numerales 2 al 5 del artículo 3, Decreto 186 de 2004). De ser necesario, se adelantarán las sanciones personales e institucionales previstas en el artículo 36 (numerales 6 y 7) de la Ley 454 de 1998, así como las medidas administrativas contempladas en el artículo 114 del Estatuto Orgánico del Sistema Financiero (Decreto 663 de 1993)</w:t>
      </w:r>
    </w:p>
    <w:p w14:paraId="6A174B41" w14:textId="38999EF1" w:rsidR="00E53A04"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¿Qué estrategias implementara la SES para contrarrestar las cooperativas ilegales? </w:t>
      </w:r>
    </w:p>
    <w:p w14:paraId="26FF16DB" w14:textId="77777777" w:rsidR="00675A0E" w:rsidRPr="00675A0E" w:rsidRDefault="00675A0E" w:rsidP="00675A0E">
      <w:pPr>
        <w:spacing w:line="254" w:lineRule="auto"/>
        <w:jc w:val="both"/>
        <w:rPr>
          <w:rFonts w:ascii="Verdana" w:hAnsi="Verdana"/>
        </w:rPr>
      </w:pPr>
      <w:r w:rsidRPr="00675A0E">
        <w:rPr>
          <w:rFonts w:ascii="Verdana" w:hAnsi="Verdana"/>
        </w:rPr>
        <w:t xml:space="preserve">Desde la Superintendencia de la Economía Solidaria a través de todo el ciclo de supervisión, se adelantan diversas acciones preventivas y de alerta frente al comportamiento y operación de las empresas solidarias supervisadas – ESS en aras de salvaguardar los aportes de los asociados y velar porque la naturaleza de las mismas se mantenga acorde a lo fijado por el ordenamiento jurídico. </w:t>
      </w:r>
    </w:p>
    <w:p w14:paraId="231CA7E7" w14:textId="56F85032" w:rsidR="00675A0E" w:rsidRPr="00675A0E" w:rsidRDefault="00675A0E" w:rsidP="00675A0E">
      <w:pPr>
        <w:spacing w:line="254" w:lineRule="auto"/>
        <w:jc w:val="both"/>
        <w:rPr>
          <w:rFonts w:ascii="Verdana" w:hAnsi="Verdana"/>
        </w:rPr>
      </w:pPr>
      <w:r w:rsidRPr="00675A0E">
        <w:rPr>
          <w:rFonts w:ascii="Verdana" w:hAnsi="Verdana"/>
        </w:rPr>
        <w:lastRenderedPageBreak/>
        <w:t>De esta manera, el seguimiento periódico que adelantan las dos Delegaturas en conjunto con las herramientas proporcionadas por el Grupo de Analítica de Datos de la entidad, se constituye como el principal insumo para identificar prácticas ilegales entre las ESS y con base en ello, ordenar la aplicación de correctivos y/o sanciones a</w:t>
      </w:r>
      <w:r w:rsidR="00CB7119">
        <w:rPr>
          <w:rFonts w:ascii="Verdana" w:hAnsi="Verdana"/>
        </w:rPr>
        <w:t xml:space="preserve"> las que </w:t>
      </w:r>
      <w:r w:rsidRPr="00675A0E">
        <w:rPr>
          <w:rFonts w:ascii="Verdana" w:hAnsi="Verdana"/>
        </w:rPr>
        <w:t>hay</w:t>
      </w:r>
      <w:r w:rsidR="00CB7119">
        <w:rPr>
          <w:rFonts w:ascii="Verdana" w:hAnsi="Verdana"/>
        </w:rPr>
        <w:t>a</w:t>
      </w:r>
      <w:r w:rsidRPr="00675A0E">
        <w:rPr>
          <w:rFonts w:ascii="Verdana" w:hAnsi="Verdana"/>
        </w:rPr>
        <w:t xml:space="preserve"> lugar, cuando se identifique y compruebe la materialización de prácticas ilegales entre las ESS. </w:t>
      </w:r>
    </w:p>
    <w:p w14:paraId="1D620251" w14:textId="77777777" w:rsidR="00675A0E" w:rsidRPr="00675A0E" w:rsidRDefault="00675A0E" w:rsidP="00675A0E">
      <w:pPr>
        <w:spacing w:line="254" w:lineRule="auto"/>
        <w:jc w:val="both"/>
        <w:rPr>
          <w:rFonts w:ascii="Verdana" w:hAnsi="Verdana"/>
        </w:rPr>
      </w:pPr>
      <w:r w:rsidRPr="00675A0E">
        <w:rPr>
          <w:rFonts w:ascii="Verdana" w:hAnsi="Verdana"/>
        </w:rPr>
        <w:t xml:space="preserve">Todo lo anterior, desde una perspectiva de supervisión basada en riesgos que permita actuar de manera preventiva y previa, para garantizar la correcta operación de las empresas de la economía solidaria, a lo cual se suma la cooperación interinstitucional, que resulta crucial para realizar labores de identificación y alertas tempranas respecto de prácticas ilegales entre las ESS. </w:t>
      </w:r>
    </w:p>
    <w:p w14:paraId="078B5882" w14:textId="76B896A2" w:rsidR="00675A0E" w:rsidRPr="00675A0E" w:rsidRDefault="00675A0E" w:rsidP="00675A0E">
      <w:pPr>
        <w:spacing w:line="254" w:lineRule="auto"/>
        <w:jc w:val="both"/>
        <w:rPr>
          <w:rFonts w:ascii="Verdana" w:hAnsi="Verdana"/>
        </w:rPr>
      </w:pPr>
      <w:r w:rsidRPr="00675A0E">
        <w:rPr>
          <w:rFonts w:ascii="Verdana" w:hAnsi="Verdana"/>
        </w:rPr>
        <w:t>Lo anterior, teniendo como base la competencia conferida a la Superintendencia de Sociedades en virtud del Decreto Ley 4334 de 2008 y normas concordantes, frente a las actuaciones por adoptar en relación con actividades de captación masiva y habitual no autorizada de recursos del público.</w:t>
      </w:r>
    </w:p>
    <w:p w14:paraId="34F73373" w14:textId="77777777" w:rsidR="002F2DB3" w:rsidRPr="002F2DB3" w:rsidRDefault="002F2DB3" w:rsidP="002F2DB3">
      <w:pPr>
        <w:pStyle w:val="Prrafodelista"/>
        <w:spacing w:line="256" w:lineRule="auto"/>
        <w:jc w:val="both"/>
        <w:rPr>
          <w:rFonts w:ascii="Verdana" w:hAnsi="Verdana"/>
          <w:b/>
          <w:bCs/>
        </w:rPr>
      </w:pPr>
    </w:p>
    <w:p w14:paraId="1AAEDE53" w14:textId="01EC9606" w:rsidR="00E53A04"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 Frente al modelo de perdida esperada ¿Desde la Supersolidaria han revisado la opción de quitarlo y dejar la perdida incurrida que se ha venido trabajando y que muestra la realidad de la cartera?</w:t>
      </w:r>
      <w:r w:rsidR="00CD05C6">
        <w:rPr>
          <w:rFonts w:ascii="Verdana" w:hAnsi="Verdana"/>
          <w:b/>
          <w:bCs/>
        </w:rPr>
        <w:t xml:space="preserve"> </w:t>
      </w:r>
    </w:p>
    <w:p w14:paraId="6C44284A" w14:textId="6D20065F" w:rsidR="00275F3A" w:rsidRPr="00275F3A" w:rsidRDefault="00275F3A" w:rsidP="00275F3A">
      <w:pPr>
        <w:spacing w:line="256" w:lineRule="auto"/>
        <w:jc w:val="both"/>
        <w:rPr>
          <w:rFonts w:ascii="Verdana" w:hAnsi="Verdana"/>
        </w:rPr>
      </w:pPr>
      <w:r w:rsidRPr="00275F3A">
        <w:rPr>
          <w:rFonts w:ascii="Verdana" w:hAnsi="Verdana"/>
        </w:rPr>
        <w:t>La Superintendencia ha realizado diversos análisis para determinar la conveniencia de mantener el modelo de pérdida incurrida. Por ahora, los resultados indican que es necesaria la aplicación de modelos de pérdida esperada, dado el comportamiento reciente de la cartera y los niveles de cobertura registrados por las vigiladas.</w:t>
      </w:r>
    </w:p>
    <w:p w14:paraId="4193C43C" w14:textId="77777777" w:rsidR="00E53A04" w:rsidRPr="002F2DB3" w:rsidRDefault="00E53A04" w:rsidP="00E53A04">
      <w:pPr>
        <w:pStyle w:val="Prrafodelista"/>
        <w:jc w:val="both"/>
        <w:rPr>
          <w:rFonts w:ascii="Verdana" w:hAnsi="Verdana"/>
          <w:b/>
          <w:bCs/>
        </w:rPr>
      </w:pPr>
    </w:p>
    <w:p w14:paraId="5CDC0078" w14:textId="0EBE5511" w:rsidR="00E53A04"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¿Qué acciones específicas se han implementado para mejorar la atención al ciudadano, y cuáles son los indicadores de impacto que se están midiendo para evaluar la efectividad de estas acciones? </w:t>
      </w:r>
    </w:p>
    <w:p w14:paraId="35D3FCFF" w14:textId="77777777" w:rsidR="00FE3BF0" w:rsidRPr="00FE3BF0" w:rsidRDefault="00FE3BF0" w:rsidP="00FE3BF0">
      <w:pPr>
        <w:pStyle w:val="Prrafodelista"/>
        <w:rPr>
          <w:rFonts w:ascii="Verdana" w:hAnsi="Verdana"/>
          <w:b/>
          <w:bCs/>
        </w:rPr>
      </w:pPr>
    </w:p>
    <w:p w14:paraId="6AE0D5D7" w14:textId="17196CD4" w:rsidR="00FE3BF0" w:rsidRPr="00D743A6" w:rsidRDefault="00FE3BF0" w:rsidP="00D743A6">
      <w:pPr>
        <w:jc w:val="both"/>
        <w:rPr>
          <w:rFonts w:ascii="Verdana" w:hAnsi="Verdana"/>
        </w:rPr>
      </w:pPr>
      <w:r w:rsidRPr="00521102">
        <w:rPr>
          <w:rFonts w:ascii="Verdana" w:hAnsi="Verdana"/>
        </w:rPr>
        <w:lastRenderedPageBreak/>
        <w:t>Desde la Secretaría General, a través del Grupo de Relacionamiento con la Ciudadanía, y en el marco de la estrategia de atención al ciudadano definida para la vigencia 2025, se han implementado diversas acciones orientadas a fortalecer la calidad, oportunidad y accesibilidad del servicio ofrecido a la ciudadanía, en concordancia con los principios de eficiencia, transparencia y enfoque al ciudadano establecidos en la normatividad vigente.</w:t>
      </w:r>
    </w:p>
    <w:p w14:paraId="00D55D86" w14:textId="0F23065E" w:rsidR="00FE3BF0" w:rsidRPr="00D743A6" w:rsidRDefault="00FE3BF0" w:rsidP="00D743A6">
      <w:pPr>
        <w:jc w:val="both"/>
        <w:rPr>
          <w:rFonts w:ascii="Verdana" w:hAnsi="Verdana"/>
        </w:rPr>
      </w:pPr>
      <w:r w:rsidRPr="00521102">
        <w:rPr>
          <w:rFonts w:ascii="Verdana" w:hAnsi="Verdana"/>
        </w:rPr>
        <w:t xml:space="preserve">Entre las principales acciones desarrolladas se destaca la realización de </w:t>
      </w:r>
      <w:r w:rsidRPr="00521102">
        <w:rPr>
          <w:rFonts w:ascii="Verdana" w:hAnsi="Verdana"/>
          <w:b/>
          <w:bCs/>
        </w:rPr>
        <w:t>capacitaciones periódicas todos los martes y jueves</w:t>
      </w:r>
      <w:r w:rsidRPr="00521102">
        <w:rPr>
          <w:rFonts w:ascii="Verdana" w:hAnsi="Verdana"/>
        </w:rPr>
        <w:t xml:space="preserve">, dirigidas a ciudadanos, organizaciones y grupos de interés, con el objetivo de fortalecer sus competencias en el uso del </w:t>
      </w:r>
      <w:r w:rsidRPr="00521102">
        <w:rPr>
          <w:rFonts w:ascii="Verdana" w:hAnsi="Verdana"/>
          <w:b/>
          <w:bCs/>
        </w:rPr>
        <w:t>nuevo sistema ADA</w:t>
      </w:r>
      <w:r w:rsidRPr="00521102">
        <w:rPr>
          <w:rFonts w:ascii="Verdana" w:hAnsi="Verdana"/>
        </w:rPr>
        <w:t xml:space="preserve">. Adicionalmente, al inicio de la vigencia se adelantaron jornadas de capacitación específicas sobre el </w:t>
      </w:r>
      <w:r w:rsidRPr="00521102">
        <w:rPr>
          <w:rFonts w:ascii="Verdana" w:hAnsi="Verdana"/>
          <w:b/>
          <w:bCs/>
        </w:rPr>
        <w:t>sistema SICSES</w:t>
      </w:r>
      <w:r w:rsidRPr="00521102">
        <w:rPr>
          <w:rFonts w:ascii="Verdana" w:hAnsi="Verdana"/>
        </w:rPr>
        <w:t>, lo cual permitió facilitar la transición tecnológica y garantizar la continuidad en la prestación del servicio.</w:t>
      </w:r>
    </w:p>
    <w:p w14:paraId="62C3A9BF" w14:textId="7DB5C595" w:rsidR="00FE3BF0" w:rsidRPr="00D743A6" w:rsidRDefault="00FE3BF0" w:rsidP="00D743A6">
      <w:pPr>
        <w:jc w:val="both"/>
        <w:rPr>
          <w:rFonts w:ascii="Verdana" w:hAnsi="Verdana"/>
        </w:rPr>
      </w:pPr>
      <w:r w:rsidRPr="00521102">
        <w:rPr>
          <w:rFonts w:ascii="Verdana" w:hAnsi="Verdana"/>
        </w:rPr>
        <w:t xml:space="preserve">Estas capacitaciones resultaron especialmente relevantes durante los periodos de </w:t>
      </w:r>
      <w:r w:rsidRPr="00521102">
        <w:rPr>
          <w:rFonts w:ascii="Verdana" w:hAnsi="Verdana"/>
          <w:b/>
          <w:bCs/>
        </w:rPr>
        <w:t>ciberataques</w:t>
      </w:r>
      <w:r w:rsidRPr="00521102">
        <w:rPr>
          <w:rFonts w:ascii="Verdana" w:hAnsi="Verdana"/>
        </w:rPr>
        <w:t xml:space="preserve"> que afectaron los canales digitales institucionales, dado que contribuyeron significativamente a </w:t>
      </w:r>
      <w:r w:rsidRPr="00521102">
        <w:rPr>
          <w:rFonts w:ascii="Verdana" w:hAnsi="Verdana"/>
          <w:b/>
          <w:bCs/>
        </w:rPr>
        <w:t>mantener y aumentar los niveles de atención al ciudadano</w:t>
      </w:r>
      <w:r w:rsidRPr="00521102">
        <w:rPr>
          <w:rFonts w:ascii="Verdana" w:hAnsi="Verdana"/>
        </w:rPr>
        <w:t>, brindando orientación clara y acompañamiento oportuno frente al uso de los sistemas habilitados por la entidad.</w:t>
      </w:r>
    </w:p>
    <w:p w14:paraId="3B9329D3" w14:textId="4169D931" w:rsidR="00FE3BF0" w:rsidRDefault="00FE3BF0" w:rsidP="00D743A6">
      <w:pPr>
        <w:jc w:val="both"/>
        <w:rPr>
          <w:rFonts w:ascii="Verdana" w:hAnsi="Verdana"/>
        </w:rPr>
      </w:pPr>
      <w:r w:rsidRPr="00521102">
        <w:rPr>
          <w:rFonts w:ascii="Verdana" w:hAnsi="Verdana"/>
        </w:rPr>
        <w:t xml:space="preserve">Como mecanismo de seguimiento, control y evaluación, las atenciones realizadas en el marco de estas capacitaciones son </w:t>
      </w:r>
      <w:r w:rsidRPr="00521102">
        <w:rPr>
          <w:rFonts w:ascii="Verdana" w:hAnsi="Verdana"/>
          <w:b/>
          <w:bCs/>
        </w:rPr>
        <w:t>consolidadas y reportadas a través de informes trimestrales</w:t>
      </w:r>
      <w:r w:rsidRPr="00521102">
        <w:rPr>
          <w:rFonts w:ascii="Verdana" w:hAnsi="Verdana"/>
        </w:rPr>
        <w:t>, en los cuales se registra el número de ciudadanos atendidos, las jornadas realizadas y el comportamiento de la demanda del servicio. Estos informes constituyen un indicador clave para medir la cobertura, oportunidad y efectividad de las acciones implementadas por el Grupo de Relacionamiento con la Ciudadanía.</w:t>
      </w:r>
    </w:p>
    <w:p w14:paraId="17B85BD9" w14:textId="77777777" w:rsidR="00FE3BF0" w:rsidRPr="00521102" w:rsidRDefault="00FE3BF0" w:rsidP="00D743A6">
      <w:pPr>
        <w:jc w:val="both"/>
        <w:rPr>
          <w:rFonts w:ascii="Verdana" w:hAnsi="Verdana"/>
        </w:rPr>
      </w:pPr>
      <w:r w:rsidRPr="00521102">
        <w:rPr>
          <w:rFonts w:ascii="Verdana" w:hAnsi="Verdana"/>
        </w:rPr>
        <w:t xml:space="preserve">Adicionalmente, con el fin de evaluar el </w:t>
      </w:r>
      <w:r w:rsidRPr="00521102">
        <w:rPr>
          <w:rFonts w:ascii="Verdana" w:hAnsi="Verdana"/>
          <w:b/>
          <w:bCs/>
        </w:rPr>
        <w:t>impacto y la efectividad de las acciones implementadas</w:t>
      </w:r>
      <w:r w:rsidRPr="00521102">
        <w:rPr>
          <w:rFonts w:ascii="Verdana" w:hAnsi="Verdana"/>
        </w:rPr>
        <w:t xml:space="preserve">, se diseñó y aplicó una </w:t>
      </w:r>
      <w:r w:rsidRPr="00521102">
        <w:rPr>
          <w:rFonts w:ascii="Verdana" w:hAnsi="Verdana"/>
          <w:b/>
          <w:bCs/>
        </w:rPr>
        <w:t xml:space="preserve">encuesta de satisfacción a través de Google </w:t>
      </w:r>
      <w:proofErr w:type="spellStart"/>
      <w:r w:rsidRPr="00521102">
        <w:rPr>
          <w:rFonts w:ascii="Verdana" w:hAnsi="Verdana"/>
          <w:b/>
          <w:bCs/>
        </w:rPr>
        <w:t>Forms</w:t>
      </w:r>
      <w:proofErr w:type="spellEnd"/>
      <w:r w:rsidRPr="00521102">
        <w:rPr>
          <w:rFonts w:ascii="Verdana" w:hAnsi="Verdana"/>
        </w:rPr>
        <w:t xml:space="preserve"> en cada jornada de capacitación. Este instrumento permitió recopilar de manera sistemática las percepciones, observaciones y recomendaciones de los ciudadanos frente a la claridad de la información, la utilidad de la capacitación, la atención brindada y la experiencia general con los servicios de la entidad. Los resultados obtenidos </w:t>
      </w:r>
      <w:r w:rsidRPr="00521102">
        <w:rPr>
          <w:rFonts w:ascii="Verdana" w:hAnsi="Verdana"/>
        </w:rPr>
        <w:lastRenderedPageBreak/>
        <w:t>constituyen un insumo clave para la mejora continua de los procesos de atención al ciudadano.</w:t>
      </w:r>
    </w:p>
    <w:p w14:paraId="4F90E135" w14:textId="14BE1494" w:rsidR="00FE3BF0" w:rsidRDefault="00FE3BF0" w:rsidP="00D743A6">
      <w:pPr>
        <w:jc w:val="both"/>
        <w:rPr>
          <w:rFonts w:ascii="Verdana" w:hAnsi="Verdana"/>
        </w:rPr>
      </w:pPr>
      <w:r w:rsidRPr="00521102">
        <w:rPr>
          <w:rFonts w:ascii="Verdana" w:hAnsi="Verdana"/>
        </w:rPr>
        <w:t xml:space="preserve">Todas estas acciones se desarrollan en cumplimiento de lo dispuesto en la </w:t>
      </w:r>
      <w:r w:rsidRPr="00521102">
        <w:rPr>
          <w:rFonts w:ascii="Verdana" w:hAnsi="Verdana"/>
          <w:b/>
          <w:bCs/>
        </w:rPr>
        <w:t>Ley 1755 de 2015</w:t>
      </w:r>
      <w:r w:rsidRPr="00521102">
        <w:rPr>
          <w:rFonts w:ascii="Verdana" w:hAnsi="Verdana"/>
        </w:rPr>
        <w:t xml:space="preserve"> (derecho fundamental de petición), la </w:t>
      </w:r>
      <w:r w:rsidRPr="00521102">
        <w:rPr>
          <w:rFonts w:ascii="Verdana" w:hAnsi="Verdana"/>
          <w:b/>
          <w:bCs/>
        </w:rPr>
        <w:t>Ley 1437 de 2011</w:t>
      </w:r>
      <w:r w:rsidRPr="00521102">
        <w:rPr>
          <w:rFonts w:ascii="Verdana" w:hAnsi="Verdana"/>
        </w:rPr>
        <w:t xml:space="preserve"> – Código de Procedimiento Administrativo y de lo Contencioso Administrativo (CPACA), así como en el marco de la </w:t>
      </w:r>
      <w:r w:rsidRPr="00521102">
        <w:rPr>
          <w:rFonts w:ascii="Verdana" w:hAnsi="Verdana"/>
          <w:b/>
          <w:bCs/>
        </w:rPr>
        <w:t>Política de Servicio al Ciudadano</w:t>
      </w:r>
      <w:r w:rsidRPr="00521102">
        <w:rPr>
          <w:rFonts w:ascii="Verdana" w:hAnsi="Verdana"/>
        </w:rPr>
        <w:t xml:space="preserve"> y los lineamientos de fortalecimiento institucional orientados a garantizar una atención integral, eficaz y centrada en las necesidades del ciudadano. Asimismo, se alinean con los principios de mejora continua y evaluación del desempeño establecidos en el </w:t>
      </w:r>
      <w:r w:rsidRPr="00521102">
        <w:rPr>
          <w:rFonts w:ascii="Verdana" w:hAnsi="Verdana"/>
          <w:b/>
          <w:bCs/>
        </w:rPr>
        <w:t>Modelo Integrado de Planeación y Gestión (MIPG)</w:t>
      </w:r>
      <w:r w:rsidRPr="00521102">
        <w:rPr>
          <w:rFonts w:ascii="Verdana" w:hAnsi="Verdana"/>
        </w:rPr>
        <w:t>.</w:t>
      </w:r>
    </w:p>
    <w:p w14:paraId="5863D272" w14:textId="69914EC3" w:rsidR="00FE3BF0" w:rsidRPr="00275F3A" w:rsidRDefault="00FE3BF0" w:rsidP="00275F3A">
      <w:pPr>
        <w:jc w:val="both"/>
        <w:rPr>
          <w:rFonts w:ascii="Verdana" w:hAnsi="Verdana"/>
        </w:rPr>
      </w:pPr>
      <w:r w:rsidRPr="00521102">
        <w:rPr>
          <w:rFonts w:ascii="Verdana" w:hAnsi="Verdana"/>
        </w:rPr>
        <w:t>En conclusión, las acciones implementadas por la Secretaría General, a través del Grupo de Relacionamiento con la Ciudadanía, han permitido fortalecer de manera significativa la atención al ciudadano durante la vigencia 2025, mediante estrategias de capacitación continua, apropiación de herramientas tecnológicas y acompañamiento permanente a los usuarios. La realización sistemática de capacitaciones sobre los sistemas ADA y SICSES, sumada a la aplicación de encuestas de satisfacción y al seguimiento a través de informes trimestrales, ha facilitado la medición del impacto de las acciones desarrolladas y la identificación de oportunidades de mejora.</w:t>
      </w:r>
    </w:p>
    <w:p w14:paraId="7F0AF127" w14:textId="657A9495" w:rsidR="00E53A04" w:rsidRDefault="00FE3BF0" w:rsidP="00A02F3D">
      <w:pPr>
        <w:jc w:val="both"/>
        <w:rPr>
          <w:rFonts w:ascii="Verdana" w:hAnsi="Verdana"/>
        </w:rPr>
      </w:pPr>
      <w:r w:rsidRPr="00521102">
        <w:rPr>
          <w:rFonts w:ascii="Verdana" w:hAnsi="Verdana"/>
        </w:rPr>
        <w:t xml:space="preserve">Estas medidas han contribuido a garantizar la continuidad y el aumento en los niveles de atención, incluso en contextos adversos como los incidentes de ciberseguridad, evidenciando la capacidad institucional para responder de manera oportuna y eficiente a las necesidades de la ciudadanía. Asimismo, el cumplimiento de la normatividad vigente y la articulación con los lineamientos del Modelo Integrado de Planeación y Gestión (MIPG) reflejan el compromiso de la entidad con la mejora continua, la transparencia y la prestación de un servicio centrado en el ciudadano. </w:t>
      </w:r>
    </w:p>
    <w:p w14:paraId="2AA2FE2F" w14:textId="68FB6A40" w:rsidR="00A02F3D" w:rsidRDefault="00A02F3D" w:rsidP="00A02F3D">
      <w:pPr>
        <w:jc w:val="both"/>
        <w:rPr>
          <w:rFonts w:ascii="Verdana" w:hAnsi="Verdana"/>
        </w:rPr>
      </w:pPr>
      <w:r>
        <w:rPr>
          <w:rFonts w:ascii="Verdana" w:hAnsi="Verdana"/>
        </w:rPr>
        <w:t>Los indicadores que se miden a través de la encuesta de satisfacción son:</w:t>
      </w:r>
    </w:p>
    <w:p w14:paraId="102814CF" w14:textId="35EE6276" w:rsidR="00A02F3D" w:rsidRDefault="00A02F3D" w:rsidP="00A02F3D">
      <w:pPr>
        <w:pStyle w:val="Prrafodelista"/>
        <w:numPr>
          <w:ilvl w:val="1"/>
          <w:numId w:val="37"/>
        </w:numPr>
        <w:jc w:val="both"/>
        <w:rPr>
          <w:rFonts w:ascii="Verdana" w:hAnsi="Verdana"/>
        </w:rPr>
      </w:pPr>
      <w:r>
        <w:rPr>
          <w:rFonts w:ascii="Verdana" w:hAnsi="Verdana"/>
        </w:rPr>
        <w:t>Número de ciudadanos atendidos por los diferentes canales de atención</w:t>
      </w:r>
      <w:r w:rsidR="00FC6F93">
        <w:rPr>
          <w:rFonts w:ascii="Verdana" w:hAnsi="Verdana"/>
        </w:rPr>
        <w:t xml:space="preserve"> (telefónica, presencial y virtual)</w:t>
      </w:r>
    </w:p>
    <w:p w14:paraId="708F6C93" w14:textId="0D073206" w:rsidR="00A02F3D" w:rsidRDefault="00A02F3D" w:rsidP="00A02F3D">
      <w:pPr>
        <w:pStyle w:val="Prrafodelista"/>
        <w:numPr>
          <w:ilvl w:val="1"/>
          <w:numId w:val="37"/>
        </w:numPr>
        <w:jc w:val="both"/>
        <w:rPr>
          <w:rFonts w:ascii="Verdana" w:hAnsi="Verdana"/>
        </w:rPr>
      </w:pPr>
      <w:r>
        <w:rPr>
          <w:rFonts w:ascii="Verdana" w:hAnsi="Verdana"/>
        </w:rPr>
        <w:lastRenderedPageBreak/>
        <w:t>Claridad de Lenguaje utilizado</w:t>
      </w:r>
    </w:p>
    <w:p w14:paraId="1BC47E10" w14:textId="1878B05E" w:rsidR="00A02F3D" w:rsidRDefault="00A02F3D" w:rsidP="00A02F3D">
      <w:pPr>
        <w:pStyle w:val="Prrafodelista"/>
        <w:numPr>
          <w:ilvl w:val="1"/>
          <w:numId w:val="37"/>
        </w:numPr>
        <w:jc w:val="both"/>
        <w:rPr>
          <w:rFonts w:ascii="Verdana" w:hAnsi="Verdana"/>
        </w:rPr>
      </w:pPr>
      <w:r>
        <w:rPr>
          <w:rFonts w:ascii="Verdana" w:hAnsi="Verdana"/>
        </w:rPr>
        <w:t>Pertinencia e interés del tema abordado</w:t>
      </w:r>
    </w:p>
    <w:p w14:paraId="6912C29D" w14:textId="0FF46A16" w:rsidR="00A02F3D" w:rsidRDefault="00A02F3D" w:rsidP="00A02F3D">
      <w:pPr>
        <w:pStyle w:val="Prrafodelista"/>
        <w:numPr>
          <w:ilvl w:val="1"/>
          <w:numId w:val="37"/>
        </w:numPr>
        <w:jc w:val="both"/>
        <w:rPr>
          <w:rFonts w:ascii="Verdana" w:hAnsi="Verdana"/>
        </w:rPr>
      </w:pPr>
      <w:r>
        <w:rPr>
          <w:rFonts w:ascii="Verdana" w:hAnsi="Verdana"/>
        </w:rPr>
        <w:t xml:space="preserve">Metodología utilizada y material didáctico </w:t>
      </w:r>
    </w:p>
    <w:p w14:paraId="2E9686A4" w14:textId="19DAF763" w:rsidR="00A02F3D" w:rsidRDefault="00A02F3D" w:rsidP="00A02F3D">
      <w:pPr>
        <w:pStyle w:val="Prrafodelista"/>
        <w:numPr>
          <w:ilvl w:val="1"/>
          <w:numId w:val="37"/>
        </w:numPr>
        <w:jc w:val="both"/>
        <w:rPr>
          <w:rFonts w:ascii="Verdana" w:hAnsi="Verdana"/>
        </w:rPr>
      </w:pPr>
      <w:r>
        <w:rPr>
          <w:rFonts w:ascii="Verdana" w:hAnsi="Verdana"/>
        </w:rPr>
        <w:t>Idoneidad de los conferencistas</w:t>
      </w:r>
    </w:p>
    <w:p w14:paraId="0051565A" w14:textId="452C815C" w:rsidR="00A02F3D" w:rsidRDefault="00A02F3D" w:rsidP="00A02F3D">
      <w:pPr>
        <w:pStyle w:val="Prrafodelista"/>
        <w:numPr>
          <w:ilvl w:val="1"/>
          <w:numId w:val="37"/>
        </w:numPr>
        <w:jc w:val="both"/>
        <w:rPr>
          <w:rFonts w:ascii="Verdana" w:hAnsi="Verdana"/>
        </w:rPr>
      </w:pPr>
      <w:r>
        <w:rPr>
          <w:rFonts w:ascii="Verdana" w:hAnsi="Verdana"/>
        </w:rPr>
        <w:t>Satisfacción frente al trato recibido</w:t>
      </w:r>
    </w:p>
    <w:p w14:paraId="576B89A0" w14:textId="64345507" w:rsidR="00A02F3D" w:rsidRDefault="00A02F3D" w:rsidP="00A02F3D">
      <w:pPr>
        <w:pStyle w:val="Prrafodelista"/>
        <w:numPr>
          <w:ilvl w:val="1"/>
          <w:numId w:val="37"/>
        </w:numPr>
        <w:jc w:val="both"/>
        <w:rPr>
          <w:rFonts w:ascii="Verdana" w:hAnsi="Verdana"/>
        </w:rPr>
      </w:pPr>
      <w:r>
        <w:rPr>
          <w:rFonts w:ascii="Verdana" w:hAnsi="Verdana"/>
        </w:rPr>
        <w:t>Pertinencia del Horario</w:t>
      </w:r>
    </w:p>
    <w:p w14:paraId="46AED206" w14:textId="48671469" w:rsidR="00A02F3D" w:rsidRDefault="00A02F3D" w:rsidP="00A02F3D">
      <w:pPr>
        <w:pStyle w:val="Prrafodelista"/>
        <w:numPr>
          <w:ilvl w:val="1"/>
          <w:numId w:val="37"/>
        </w:numPr>
        <w:jc w:val="both"/>
        <w:rPr>
          <w:rFonts w:ascii="Verdana" w:hAnsi="Verdana"/>
        </w:rPr>
      </w:pPr>
      <w:r>
        <w:rPr>
          <w:rFonts w:ascii="Verdana" w:hAnsi="Verdana"/>
        </w:rPr>
        <w:t xml:space="preserve">Accesibilidad del espacio físico o plataforma utilizada </w:t>
      </w:r>
    </w:p>
    <w:p w14:paraId="3586DF28" w14:textId="42FC5F96" w:rsidR="00A02F3D" w:rsidRPr="00A02F3D" w:rsidRDefault="00A02F3D" w:rsidP="00A02F3D">
      <w:pPr>
        <w:pStyle w:val="Prrafodelista"/>
        <w:numPr>
          <w:ilvl w:val="1"/>
          <w:numId w:val="37"/>
        </w:numPr>
        <w:jc w:val="both"/>
        <w:rPr>
          <w:rFonts w:ascii="Verdana" w:hAnsi="Verdana"/>
        </w:rPr>
      </w:pPr>
      <w:r>
        <w:rPr>
          <w:rFonts w:ascii="Verdana" w:hAnsi="Verdana"/>
        </w:rPr>
        <w:t xml:space="preserve">Efectividad de los medios de comunicación utilizados para la convocatoria </w:t>
      </w:r>
    </w:p>
    <w:p w14:paraId="61D26525" w14:textId="77777777" w:rsidR="00E53A04" w:rsidRPr="000743C5" w:rsidRDefault="00E53A04" w:rsidP="00E53A04">
      <w:pPr>
        <w:pStyle w:val="Prrafodelista"/>
        <w:jc w:val="both"/>
        <w:rPr>
          <w:rFonts w:ascii="Verdana" w:hAnsi="Verdana"/>
        </w:rPr>
      </w:pPr>
    </w:p>
    <w:p w14:paraId="5F7F1F92" w14:textId="787355D2" w:rsidR="00E53A04"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¿Qué estrategias tomaron para fortalecer el sector solidario y como genera empleo? </w:t>
      </w:r>
    </w:p>
    <w:p w14:paraId="01FD6D95" w14:textId="77777777" w:rsidR="00675A0E" w:rsidRPr="00675A0E" w:rsidRDefault="00675A0E" w:rsidP="00675A0E">
      <w:pPr>
        <w:jc w:val="both"/>
        <w:rPr>
          <w:rFonts w:ascii="Verdana" w:hAnsi="Verdana"/>
        </w:rPr>
      </w:pPr>
      <w:r w:rsidRPr="00675A0E">
        <w:rPr>
          <w:rFonts w:ascii="Verdana" w:hAnsi="Verdana"/>
        </w:rPr>
        <w:t xml:space="preserve">Desde la Superintendencia de la Economía Solidaria y en particular, frente a la formulación de la Política Integral de Supervisión basada en Riesgos – PISBR, resaltamos que esta fue concebida para todo el sector de la economía solidaria, un universo diverso, heterogéneo e históricamente invisibilizado por la institucionalidad. </w:t>
      </w:r>
    </w:p>
    <w:p w14:paraId="72619B5B" w14:textId="77777777" w:rsidR="00675A0E" w:rsidRPr="00675A0E" w:rsidRDefault="00675A0E" w:rsidP="00675A0E">
      <w:pPr>
        <w:jc w:val="both"/>
        <w:rPr>
          <w:rFonts w:ascii="Verdana" w:hAnsi="Verdana"/>
        </w:rPr>
      </w:pPr>
      <w:r w:rsidRPr="00675A0E">
        <w:rPr>
          <w:rFonts w:ascii="Verdana" w:hAnsi="Verdana"/>
        </w:rPr>
        <w:t xml:space="preserve">Así pues, a partir del reconocimiento de esa pluralidad ha sido la base para diseñar una política que busca no solo proteger a través de la Supervisión, sino también potenciar el papel estratégico de un modelo de cooperación económica y ayuda mutua, que además de ser efectivo, encarna los valores fundamentales para la construcción de una sociedad más justa. </w:t>
      </w:r>
    </w:p>
    <w:p w14:paraId="6B72384D" w14:textId="1BF9F551" w:rsidR="00675A0E" w:rsidRDefault="00675A0E" w:rsidP="00675A0E">
      <w:pPr>
        <w:jc w:val="both"/>
        <w:rPr>
          <w:rFonts w:ascii="Verdana" w:hAnsi="Verdana"/>
        </w:rPr>
      </w:pPr>
      <w:r w:rsidRPr="00675A0E">
        <w:rPr>
          <w:rFonts w:ascii="Verdana" w:hAnsi="Verdana"/>
        </w:rPr>
        <w:t xml:space="preserve">Con ello, es importante resaltar que la PISBR no se limita al plano técnico; sino que la misma supone una transformación cultural orientada a entender la supervisión como un ejercicio integral, preventivo y generador de valor, capaz de acompañar el crecimiento del modelo de la economía solidaria como núcleo del sistema económico, lo cual se ha visto reflejado en las diferentes acciones emprendidas en el ciclo de supervisión implementado desde la Superintendencia, a través de las cuales se propende, más allá del seguimiento propio que esto implica, por un fortalecimiento y robustecimiento de las operaciones de las ESS, conscientes del papel de las mismas en la </w:t>
      </w:r>
      <w:r w:rsidRPr="00675A0E">
        <w:rPr>
          <w:rFonts w:ascii="Verdana" w:hAnsi="Verdana"/>
        </w:rPr>
        <w:lastRenderedPageBreak/>
        <w:t xml:space="preserve">economía nacional y en la representatividad en la generación de empleos directos e indirectos. </w:t>
      </w:r>
    </w:p>
    <w:p w14:paraId="684DF624" w14:textId="77777777" w:rsidR="00675A0E" w:rsidRPr="00675A0E" w:rsidRDefault="00675A0E" w:rsidP="00675A0E">
      <w:pPr>
        <w:spacing w:line="256" w:lineRule="auto"/>
        <w:ind w:left="360"/>
        <w:jc w:val="both"/>
        <w:rPr>
          <w:rFonts w:ascii="Verdana" w:hAnsi="Verdana"/>
          <w:b/>
          <w:bCs/>
        </w:rPr>
      </w:pPr>
    </w:p>
    <w:p w14:paraId="2AEB09CB" w14:textId="77777777" w:rsidR="00E53A04" w:rsidRPr="004F0D53" w:rsidRDefault="00E53A04" w:rsidP="00E53A04">
      <w:pPr>
        <w:pStyle w:val="Prrafodelista"/>
        <w:jc w:val="both"/>
        <w:rPr>
          <w:rFonts w:ascii="Verdana" w:hAnsi="Verdana"/>
          <w:b/>
          <w:bCs/>
        </w:rPr>
      </w:pPr>
    </w:p>
    <w:p w14:paraId="15E37DDA" w14:textId="0A7D9B32" w:rsidR="00E53A04" w:rsidRPr="002F2DB3" w:rsidRDefault="00E53A04" w:rsidP="00E53A04">
      <w:pPr>
        <w:pStyle w:val="Prrafodelista"/>
        <w:numPr>
          <w:ilvl w:val="0"/>
          <w:numId w:val="30"/>
        </w:numPr>
        <w:spacing w:line="256" w:lineRule="auto"/>
        <w:jc w:val="both"/>
        <w:rPr>
          <w:rFonts w:ascii="Verdana" w:hAnsi="Verdana"/>
        </w:rPr>
      </w:pPr>
      <w:r w:rsidRPr="002F2DB3">
        <w:rPr>
          <w:rFonts w:ascii="Verdana" w:hAnsi="Verdana"/>
          <w:b/>
          <w:bCs/>
        </w:rPr>
        <w:t>¿</w:t>
      </w:r>
      <w:r w:rsidR="00031ED0" w:rsidRPr="002F2DB3">
        <w:rPr>
          <w:rFonts w:ascii="Verdana" w:hAnsi="Verdana"/>
          <w:b/>
          <w:bCs/>
        </w:rPr>
        <w:t>P</w:t>
      </w:r>
      <w:r w:rsidRPr="002F2DB3">
        <w:rPr>
          <w:rFonts w:ascii="Verdana" w:hAnsi="Verdana"/>
          <w:b/>
          <w:bCs/>
        </w:rPr>
        <w:t xml:space="preserve">or qué en este año se ha retrasado tanto la posesión de directivos? </w:t>
      </w:r>
    </w:p>
    <w:p w14:paraId="535FC426" w14:textId="3CF927D4" w:rsidR="00E53A04" w:rsidRDefault="00E53A04" w:rsidP="00E53A04">
      <w:pPr>
        <w:pStyle w:val="Prrafodelista"/>
        <w:jc w:val="both"/>
        <w:rPr>
          <w:rFonts w:ascii="Verdana" w:hAnsi="Verdana"/>
        </w:rPr>
      </w:pPr>
    </w:p>
    <w:p w14:paraId="1DC1F35A" w14:textId="77777777" w:rsidR="00A86758" w:rsidRDefault="00261B4E" w:rsidP="00275F3A">
      <w:pPr>
        <w:jc w:val="both"/>
        <w:rPr>
          <w:rFonts w:ascii="Verdana" w:hAnsi="Verdana"/>
        </w:rPr>
      </w:pPr>
      <w:r w:rsidRPr="00275F3A">
        <w:rPr>
          <w:rFonts w:ascii="Verdana" w:hAnsi="Verdana"/>
        </w:rPr>
        <w:t xml:space="preserve">El año 2025 ha sido un año de diferentes retos para la Delegatura para la Supervisión de la Actividad Financiera en el Cooperativismo, principalmente, por la falta de personal. </w:t>
      </w:r>
    </w:p>
    <w:p w14:paraId="39EEF8FB" w14:textId="75A6DEE5" w:rsidR="00735D17" w:rsidRPr="00275F3A" w:rsidRDefault="00261B4E" w:rsidP="00275F3A">
      <w:pPr>
        <w:jc w:val="both"/>
        <w:rPr>
          <w:rFonts w:ascii="Verdana" w:hAnsi="Verdana"/>
        </w:rPr>
      </w:pPr>
      <w:r w:rsidRPr="00275F3A">
        <w:rPr>
          <w:rFonts w:ascii="Verdana" w:hAnsi="Verdana"/>
        </w:rPr>
        <w:t xml:space="preserve">Esta situación se vio agravada por diferentes factores entre los cuales se destacan: i) La reducción del presupuesto del proyecto de inversión de supervisión en un 60%, el cual </w:t>
      </w:r>
      <w:r w:rsidR="00212682" w:rsidRPr="00275F3A">
        <w:rPr>
          <w:rFonts w:ascii="Verdana" w:hAnsi="Verdana"/>
        </w:rPr>
        <w:t xml:space="preserve">es </w:t>
      </w:r>
      <w:r w:rsidRPr="00275F3A">
        <w:rPr>
          <w:rFonts w:ascii="Verdana" w:hAnsi="Verdana"/>
        </w:rPr>
        <w:t>usado principalmente para cubrir las OPS</w:t>
      </w:r>
      <w:r w:rsidR="00212682" w:rsidRPr="00275F3A">
        <w:rPr>
          <w:rFonts w:ascii="Verdana" w:hAnsi="Verdana"/>
        </w:rPr>
        <w:t xml:space="preserve"> (contratistas), que apoyan la prestación del servicio, </w:t>
      </w:r>
      <w:proofErr w:type="spellStart"/>
      <w:r w:rsidR="00212682" w:rsidRPr="00275F3A">
        <w:rPr>
          <w:rFonts w:ascii="Verdana" w:hAnsi="Verdana"/>
        </w:rPr>
        <w:t>ii</w:t>
      </w:r>
      <w:proofErr w:type="spellEnd"/>
      <w:r w:rsidR="00212682" w:rsidRPr="00275F3A">
        <w:rPr>
          <w:rFonts w:ascii="Verdana" w:hAnsi="Verdana"/>
        </w:rPr>
        <w:t xml:space="preserve">) modificación de la planta producto de la provisión de cargos ofertados en carrera provisional, que obligó a que los abogados fueran reasignados a las áreas a las que originalmente pertenecían, y dejó sólo 3 abogados en la Delegatura; además de los pormenores relacionados con el personal de planta como incapacidades, periodos de vacaciones acumulados que no podían posponerse, permisos de ley, licencias por estudios y prácticas, etc.; y </w:t>
      </w:r>
      <w:proofErr w:type="spellStart"/>
      <w:r w:rsidR="00212682" w:rsidRPr="00275F3A">
        <w:rPr>
          <w:rFonts w:ascii="Verdana" w:hAnsi="Verdana"/>
        </w:rPr>
        <w:t>iii</w:t>
      </w:r>
      <w:proofErr w:type="spellEnd"/>
      <w:r w:rsidR="00212682" w:rsidRPr="00275F3A">
        <w:rPr>
          <w:rFonts w:ascii="Verdana" w:hAnsi="Verdana"/>
        </w:rPr>
        <w:t xml:space="preserve">) finalmente, el ataque a los sistemas informáticos de la Superintendencia que coincidió con las fechas de radicaciones de estos trámites (Abril-Mayo), que imposibilitó que los gestores pudieran acceder a dicha información por casi dos meses, o que la misma se encontrara en archivos dañados o incompletos. No obstante, al mes de diciembre el avance en este trámite ya es cerca del 70%, quedando por gestionar aquellos en los que la Cooperativa supervisada radicó de forma incompleta la documentación. </w:t>
      </w:r>
    </w:p>
    <w:p w14:paraId="1BF4C93D" w14:textId="2705DB8B" w:rsidR="00E53A04" w:rsidRPr="00964A84" w:rsidRDefault="00E53A04" w:rsidP="00964A84">
      <w:pPr>
        <w:jc w:val="both"/>
        <w:rPr>
          <w:rFonts w:ascii="Verdana" w:hAnsi="Verdana"/>
        </w:rPr>
      </w:pPr>
    </w:p>
    <w:p w14:paraId="18D8DE10" w14:textId="38841605" w:rsidR="00E53A04" w:rsidRPr="002F2DB3"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¿Cuáles son los resultados en la aplicación de perdida esperada en las cooperativas de ahorro y crédito v/s perdida incurrida </w:t>
      </w:r>
    </w:p>
    <w:p w14:paraId="52CBC86E" w14:textId="341AD24F" w:rsidR="00E53A04" w:rsidRDefault="00E53A04" w:rsidP="00E53A04">
      <w:pPr>
        <w:pStyle w:val="Prrafodelista"/>
        <w:jc w:val="both"/>
        <w:rPr>
          <w:rFonts w:ascii="Verdana" w:hAnsi="Verdana"/>
          <w:b/>
          <w:bCs/>
        </w:rPr>
      </w:pPr>
    </w:p>
    <w:p w14:paraId="0402E051" w14:textId="4071BA7C" w:rsidR="00AA38DA" w:rsidRPr="00275F3A" w:rsidRDefault="00DC4FA8" w:rsidP="00275F3A">
      <w:pPr>
        <w:jc w:val="both"/>
        <w:rPr>
          <w:rFonts w:ascii="Verdana" w:hAnsi="Verdana"/>
        </w:rPr>
      </w:pPr>
      <w:r w:rsidRPr="00275F3A">
        <w:rPr>
          <w:rFonts w:ascii="Verdana" w:hAnsi="Verdana"/>
        </w:rPr>
        <w:lastRenderedPageBreak/>
        <w:t>Respecto a esta inquietud, cabe señalar que de las 173 Cooperativas de Ahorro y Crédito (</w:t>
      </w:r>
      <w:proofErr w:type="spellStart"/>
      <w:r w:rsidRPr="00275F3A">
        <w:rPr>
          <w:rFonts w:ascii="Verdana" w:hAnsi="Verdana"/>
        </w:rPr>
        <w:t>CACs</w:t>
      </w:r>
      <w:proofErr w:type="spellEnd"/>
      <w:r w:rsidRPr="00275F3A">
        <w:rPr>
          <w:rFonts w:ascii="Verdana" w:hAnsi="Verdana"/>
        </w:rPr>
        <w:t>) obligadas a implementar la metodología de pérdida esperada a partir de enero de 2025, 46 realizaron la transición de manera anticipada</w:t>
      </w:r>
      <w:r w:rsidR="00365F04" w:rsidRPr="00275F3A">
        <w:rPr>
          <w:rFonts w:ascii="Verdana" w:hAnsi="Verdana"/>
        </w:rPr>
        <w:t>,</w:t>
      </w:r>
      <w:r w:rsidRPr="00275F3A">
        <w:rPr>
          <w:rFonts w:ascii="Verdana" w:hAnsi="Verdana"/>
        </w:rPr>
        <w:t xml:space="preserve"> hace más de dos años. Para las 127 organizaciones restantes, se presenta el siguiente balance de resultados de aplicación:</w:t>
      </w:r>
    </w:p>
    <w:p w14:paraId="1392349C" w14:textId="4F37B582" w:rsidR="00AA38DA" w:rsidRDefault="00AA38DA" w:rsidP="00E53A04">
      <w:pPr>
        <w:pStyle w:val="Prrafodelista"/>
        <w:jc w:val="both"/>
        <w:rPr>
          <w:rFonts w:ascii="Verdana" w:hAnsi="Verdana"/>
        </w:rPr>
      </w:pPr>
      <w:r>
        <w:rPr>
          <w:rFonts w:ascii="Verdana" w:hAnsi="Verdana"/>
          <w:noProof/>
        </w:rPr>
        <w:drawing>
          <wp:inline distT="0" distB="0" distL="0" distR="0" wp14:anchorId="08E84EA6" wp14:editId="1F0ED362">
            <wp:extent cx="5144770" cy="30511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589" cy="3065284"/>
                    </a:xfrm>
                    <a:prstGeom prst="rect">
                      <a:avLst/>
                    </a:prstGeom>
                    <a:noFill/>
                  </pic:spPr>
                </pic:pic>
              </a:graphicData>
            </a:graphic>
          </wp:inline>
        </w:drawing>
      </w:r>
    </w:p>
    <w:p w14:paraId="273B0DFA" w14:textId="77777777" w:rsidR="00365F04" w:rsidRPr="00AA38DA" w:rsidRDefault="00365F04" w:rsidP="00E53A04">
      <w:pPr>
        <w:pStyle w:val="Prrafodelista"/>
        <w:jc w:val="both"/>
        <w:rPr>
          <w:rFonts w:ascii="Verdana" w:hAnsi="Verdana"/>
        </w:rPr>
      </w:pPr>
    </w:p>
    <w:p w14:paraId="6F5ACD9D" w14:textId="3B5E51F8" w:rsidR="00365F04" w:rsidRPr="00275F3A" w:rsidRDefault="00365F04" w:rsidP="00275F3A">
      <w:pPr>
        <w:jc w:val="both"/>
        <w:rPr>
          <w:rFonts w:ascii="Verdana" w:hAnsi="Verdana"/>
        </w:rPr>
      </w:pPr>
      <w:r w:rsidRPr="00275F3A">
        <w:rPr>
          <w:rFonts w:ascii="Verdana" w:hAnsi="Verdana"/>
        </w:rPr>
        <w:t>Respecto al impacto del modelo: el 41% de las organizaciones percibirá un reintegro</w:t>
      </w:r>
      <w:r w:rsidR="00964A84" w:rsidRPr="00275F3A">
        <w:rPr>
          <w:rFonts w:ascii="Verdana" w:hAnsi="Verdana"/>
        </w:rPr>
        <w:t xml:space="preserve"> de sus provisiones</w:t>
      </w:r>
      <w:r w:rsidRPr="00275F3A">
        <w:rPr>
          <w:rFonts w:ascii="Verdana" w:hAnsi="Verdana"/>
        </w:rPr>
        <w:t>, mientras que el 59% incurrirá en gastos que serán cubiertos mediante excesos de provisión</w:t>
      </w:r>
      <w:r w:rsidR="00964A84" w:rsidRPr="00275F3A">
        <w:rPr>
          <w:rFonts w:ascii="Verdana" w:hAnsi="Verdana"/>
        </w:rPr>
        <w:t>, excedentes</w:t>
      </w:r>
      <w:r w:rsidRPr="00275F3A">
        <w:rPr>
          <w:rFonts w:ascii="Verdana" w:hAnsi="Verdana"/>
        </w:rPr>
        <w:t xml:space="preserve"> o alícuotas. Es importante resaltar que solo tres entidades podrían generar un gasto mayor a sus excedentes, situación que a día de hoy solo se ha materializado en un (1) caso.</w:t>
      </w:r>
    </w:p>
    <w:p w14:paraId="2C7B5A3B" w14:textId="77777777" w:rsidR="002E190F" w:rsidRPr="002E190F" w:rsidRDefault="002E190F" w:rsidP="002E190F">
      <w:pPr>
        <w:pStyle w:val="Prrafodelista"/>
        <w:jc w:val="both"/>
        <w:rPr>
          <w:rFonts w:ascii="Verdana" w:hAnsi="Verdana"/>
        </w:rPr>
      </w:pPr>
    </w:p>
    <w:p w14:paraId="6ED4FBC6" w14:textId="3A011C42" w:rsidR="00E53A04" w:rsidRDefault="00E53A04" w:rsidP="00E53A04">
      <w:pPr>
        <w:pStyle w:val="Prrafodelista"/>
        <w:numPr>
          <w:ilvl w:val="0"/>
          <w:numId w:val="30"/>
        </w:numPr>
        <w:spacing w:line="256" w:lineRule="auto"/>
        <w:jc w:val="both"/>
        <w:rPr>
          <w:rFonts w:ascii="Verdana" w:hAnsi="Verdana"/>
          <w:b/>
          <w:bCs/>
        </w:rPr>
      </w:pPr>
      <w:r w:rsidRPr="002F2DB3">
        <w:rPr>
          <w:rFonts w:ascii="Verdana" w:hAnsi="Verdana"/>
          <w:b/>
          <w:bCs/>
        </w:rPr>
        <w:t xml:space="preserve">¿Cómo ha sido la gestión del aprovechamiento de los recursos obtenidos durante el periodo 2024-2025? </w:t>
      </w:r>
    </w:p>
    <w:p w14:paraId="14D3BF5F" w14:textId="77777777" w:rsidR="00D743A6" w:rsidRPr="00B30740" w:rsidRDefault="00D743A6" w:rsidP="00D743A6">
      <w:pPr>
        <w:pStyle w:val="NormalWeb"/>
        <w:jc w:val="both"/>
        <w:rPr>
          <w:rFonts w:ascii="Verdana" w:hAnsi="Verdana"/>
        </w:rPr>
      </w:pPr>
      <w:r w:rsidRPr="00B30740">
        <w:rPr>
          <w:rFonts w:ascii="Verdana" w:hAnsi="Verdana"/>
        </w:rPr>
        <w:t xml:space="preserve">En 2025, la Superintendencia de la Economía Solidaria ha logrado una gestión ejemplar de los recursos disponibles, garantizando la máxima eficiencia, </w:t>
      </w:r>
      <w:r w:rsidRPr="00B30740">
        <w:rPr>
          <w:rFonts w:ascii="Verdana" w:hAnsi="Verdana"/>
        </w:rPr>
        <w:lastRenderedPageBreak/>
        <w:t>solvencia y liquidez, mientras mantiene una deuda mínima. Esto ha sido posible gracias a la toma de decisiones estratégicas orientadas a optimizar ingresos y reducir gastos innecesarios.</w:t>
      </w:r>
    </w:p>
    <w:p w14:paraId="1A6169B1" w14:textId="77777777" w:rsidR="00D743A6" w:rsidRPr="00B30740" w:rsidRDefault="00D743A6" w:rsidP="00D743A6">
      <w:pPr>
        <w:pStyle w:val="NormalWeb"/>
        <w:jc w:val="both"/>
        <w:rPr>
          <w:rFonts w:ascii="Verdana" w:hAnsi="Verdana"/>
        </w:rPr>
      </w:pPr>
      <w:r w:rsidRPr="00B30740">
        <w:rPr>
          <w:rStyle w:val="Textoennegrita"/>
          <w:rFonts w:ascii="Verdana" w:eastAsiaTheme="majorEastAsia" w:hAnsi="Verdana"/>
        </w:rPr>
        <w:t>Pilares del éxito:</w:t>
      </w:r>
    </w:p>
    <w:p w14:paraId="26207E66" w14:textId="77777777" w:rsidR="00D743A6" w:rsidRPr="00B30740" w:rsidRDefault="00D743A6" w:rsidP="00D743A6">
      <w:pPr>
        <w:pStyle w:val="NormalWeb"/>
        <w:numPr>
          <w:ilvl w:val="0"/>
          <w:numId w:val="44"/>
        </w:numPr>
        <w:jc w:val="both"/>
        <w:rPr>
          <w:rFonts w:ascii="Verdana" w:hAnsi="Verdana"/>
        </w:rPr>
      </w:pPr>
      <w:r w:rsidRPr="00B30740">
        <w:rPr>
          <w:rStyle w:val="Textoennegrita"/>
          <w:rFonts w:ascii="Verdana" w:eastAsiaTheme="majorEastAsia" w:hAnsi="Verdana"/>
        </w:rPr>
        <w:t>Planificación y presupuesto</w:t>
      </w:r>
      <w:r w:rsidRPr="00B30740">
        <w:rPr>
          <w:rFonts w:ascii="Verdana" w:hAnsi="Verdana"/>
        </w:rPr>
        <w:t>: Se implementó un presupuesto detallado que asigna recursos de manera eficiente a gastos operativos esenciales ($25.169 millones) y a inversiones clave ($10.000 millones), asegurando la sostenibilidad financiera.</w:t>
      </w:r>
    </w:p>
    <w:p w14:paraId="479DD364" w14:textId="77777777" w:rsidR="00D743A6" w:rsidRPr="00B30740" w:rsidRDefault="00D743A6" w:rsidP="00D743A6">
      <w:pPr>
        <w:pStyle w:val="NormalWeb"/>
        <w:numPr>
          <w:ilvl w:val="0"/>
          <w:numId w:val="44"/>
        </w:numPr>
        <w:jc w:val="both"/>
        <w:rPr>
          <w:rFonts w:ascii="Verdana" w:hAnsi="Verdana"/>
        </w:rPr>
      </w:pPr>
      <w:r w:rsidRPr="00B30740">
        <w:rPr>
          <w:rStyle w:val="Textoennegrita"/>
          <w:rFonts w:ascii="Verdana" w:eastAsiaTheme="majorEastAsia" w:hAnsi="Verdana"/>
        </w:rPr>
        <w:t>Optimización de ingresos</w:t>
      </w:r>
      <w:r w:rsidRPr="00B30740">
        <w:rPr>
          <w:rFonts w:ascii="Verdana" w:hAnsi="Verdana"/>
        </w:rPr>
        <w:t>: Tras una década sin ajustes, se actualizó la tasa de contribución, proyectando ingresos por $48.000 millones, con una recaudación efectiva del 98%, lo que refleja la alta eficacia en la gestión fiscal.</w:t>
      </w:r>
    </w:p>
    <w:p w14:paraId="0CC36FFC" w14:textId="77777777" w:rsidR="00D743A6" w:rsidRPr="00B30740" w:rsidRDefault="00D743A6" w:rsidP="00D743A6">
      <w:pPr>
        <w:pStyle w:val="NormalWeb"/>
        <w:numPr>
          <w:ilvl w:val="0"/>
          <w:numId w:val="44"/>
        </w:numPr>
        <w:jc w:val="both"/>
        <w:rPr>
          <w:rFonts w:ascii="Verdana" w:hAnsi="Verdana"/>
        </w:rPr>
      </w:pPr>
      <w:r w:rsidRPr="00B30740">
        <w:rPr>
          <w:rStyle w:val="Textoennegrita"/>
          <w:rFonts w:ascii="Verdana" w:eastAsiaTheme="majorEastAsia" w:hAnsi="Verdana"/>
        </w:rPr>
        <w:t>Eficiencia operativa</w:t>
      </w:r>
      <w:r w:rsidRPr="00B30740">
        <w:rPr>
          <w:rFonts w:ascii="Verdana" w:hAnsi="Verdana"/>
        </w:rPr>
        <w:t>: A través de la mejora continua de procesos, la capacitación y la profesionalización del talento humano, se redujeron los gastos generales y de contratación, generando un retorno directo de beneficios a las entidades vigiladas y al sector solidario, gracias a una supervisión prospectiva más cercana y efectiva en el territorio.</w:t>
      </w:r>
    </w:p>
    <w:p w14:paraId="40ABC30E" w14:textId="77777777" w:rsidR="00D743A6" w:rsidRPr="00B30740" w:rsidRDefault="00D743A6" w:rsidP="00D743A6">
      <w:pPr>
        <w:pStyle w:val="NormalWeb"/>
        <w:numPr>
          <w:ilvl w:val="0"/>
          <w:numId w:val="44"/>
        </w:numPr>
        <w:jc w:val="both"/>
        <w:rPr>
          <w:rFonts w:ascii="Verdana" w:hAnsi="Verdana"/>
        </w:rPr>
      </w:pPr>
      <w:r w:rsidRPr="00B30740">
        <w:rPr>
          <w:rStyle w:val="Textoennegrita"/>
          <w:rFonts w:ascii="Verdana" w:eastAsiaTheme="majorEastAsia" w:hAnsi="Verdana"/>
        </w:rPr>
        <w:t>Uso estratégico de los recursos</w:t>
      </w:r>
      <w:r w:rsidRPr="00B30740">
        <w:rPr>
          <w:rFonts w:ascii="Verdana" w:hAnsi="Verdana"/>
        </w:rPr>
        <w:t>: Se priorizó la inversión en áreas de alto retorno, como la tecnología, el personal especializado y la supervisión efectiva basada en riesgos, garantizando un impacto positivo y sostenible.</w:t>
      </w:r>
    </w:p>
    <w:p w14:paraId="1866C5E2" w14:textId="77777777" w:rsidR="00D743A6" w:rsidRPr="00B30740" w:rsidRDefault="00D743A6" w:rsidP="00D743A6">
      <w:pPr>
        <w:pStyle w:val="NormalWeb"/>
        <w:numPr>
          <w:ilvl w:val="0"/>
          <w:numId w:val="44"/>
        </w:numPr>
        <w:jc w:val="both"/>
        <w:rPr>
          <w:rFonts w:ascii="Verdana" w:hAnsi="Verdana"/>
        </w:rPr>
      </w:pPr>
      <w:r w:rsidRPr="00B30740">
        <w:rPr>
          <w:rStyle w:val="Textoennegrita"/>
          <w:rFonts w:ascii="Verdana" w:eastAsiaTheme="majorEastAsia" w:hAnsi="Verdana"/>
        </w:rPr>
        <w:t>Control y análisis de datos</w:t>
      </w:r>
      <w:r w:rsidRPr="00B30740">
        <w:rPr>
          <w:rFonts w:ascii="Verdana" w:hAnsi="Verdana"/>
        </w:rPr>
        <w:t>: La información ha sido un recurso clave. El uso del Centro de Analítica ha permitido un análisis especializado y en tiempo real, facilitando decisiones informadas para una mejor gestión de los recursos.</w:t>
      </w:r>
    </w:p>
    <w:p w14:paraId="7BCBD6A2" w14:textId="0EBE0B2E" w:rsidR="00E53A04" w:rsidRPr="00D743A6" w:rsidRDefault="00D743A6" w:rsidP="00D743A6">
      <w:pPr>
        <w:pStyle w:val="NormalWeb"/>
        <w:numPr>
          <w:ilvl w:val="0"/>
          <w:numId w:val="44"/>
        </w:numPr>
        <w:jc w:val="both"/>
        <w:rPr>
          <w:rFonts w:ascii="Verdana" w:hAnsi="Verdana"/>
        </w:rPr>
      </w:pPr>
      <w:r w:rsidRPr="00B30740">
        <w:rPr>
          <w:rStyle w:val="Textoennegrita"/>
          <w:rFonts w:ascii="Verdana" w:eastAsiaTheme="majorEastAsia" w:hAnsi="Verdana"/>
        </w:rPr>
        <w:t>Gestión de liquidez</w:t>
      </w:r>
      <w:r w:rsidRPr="00B30740">
        <w:rPr>
          <w:rFonts w:ascii="Verdana" w:hAnsi="Verdana"/>
        </w:rPr>
        <w:t>: La administración de los ingresos en efectivo, bajo la Dirección del Tesoro Nacional, ha asegurado la disponibilidad de recursos para cumplir con las obligaciones propias de la Superintendencia, manteniendo una estabilidad financiera continua.</w:t>
      </w:r>
    </w:p>
    <w:p w14:paraId="55F600DB" w14:textId="77777777" w:rsidR="00E53A04" w:rsidRPr="002F2DB3" w:rsidRDefault="00E53A04" w:rsidP="00E53A04">
      <w:pPr>
        <w:pStyle w:val="Prrafodelista"/>
        <w:jc w:val="both"/>
        <w:rPr>
          <w:rFonts w:ascii="Verdana" w:hAnsi="Verdana"/>
          <w:b/>
          <w:bCs/>
        </w:rPr>
      </w:pPr>
    </w:p>
    <w:p w14:paraId="2B10EB51" w14:textId="6335E7D2" w:rsidR="002E190F" w:rsidRPr="00B40A0A" w:rsidRDefault="00E53A04" w:rsidP="00BD3E90">
      <w:pPr>
        <w:pStyle w:val="Prrafodelista"/>
        <w:numPr>
          <w:ilvl w:val="0"/>
          <w:numId w:val="30"/>
        </w:numPr>
        <w:shd w:val="clear" w:color="auto" w:fill="FFFFFF"/>
        <w:spacing w:line="240" w:lineRule="auto"/>
        <w:jc w:val="both"/>
        <w:rPr>
          <w:rFonts w:ascii="Calibri" w:eastAsia="Times New Roman" w:hAnsi="Calibri" w:cs="Calibri"/>
          <w:color w:val="222222"/>
          <w:lang w:eastAsia="es-CO"/>
        </w:rPr>
      </w:pPr>
      <w:r w:rsidRPr="002E190F">
        <w:rPr>
          <w:rFonts w:ascii="Verdana" w:hAnsi="Verdana"/>
          <w:b/>
          <w:bCs/>
        </w:rPr>
        <w:t xml:space="preserve">¿Por qué si hablamos de economía solidaria no se tiene la diferencia entre las cooperativas y fondos de empleados que su dinámica es muy parecida al de las mutuales en especial con el tema de los aportes sociales ya que las mutuales solo cobramos una contribución que en su mayoría de los casos es para cubrir una previsión exequial? </w:t>
      </w:r>
    </w:p>
    <w:p w14:paraId="260B5A94" w14:textId="77777777" w:rsidR="00B40A0A" w:rsidRPr="002E190F" w:rsidRDefault="00B40A0A" w:rsidP="00B40A0A">
      <w:pPr>
        <w:pStyle w:val="Prrafodelista"/>
        <w:shd w:val="clear" w:color="auto" w:fill="FFFFFF"/>
        <w:spacing w:line="240" w:lineRule="auto"/>
        <w:jc w:val="both"/>
        <w:rPr>
          <w:rFonts w:ascii="Calibri" w:eastAsia="Times New Roman" w:hAnsi="Calibri" w:cs="Calibri"/>
          <w:color w:val="222222"/>
          <w:lang w:eastAsia="es-CO"/>
        </w:rPr>
      </w:pPr>
    </w:p>
    <w:p w14:paraId="10E75C2D" w14:textId="0A9C590D" w:rsidR="002E190F" w:rsidRPr="00275F3A" w:rsidRDefault="002E190F" w:rsidP="00275F3A">
      <w:pPr>
        <w:shd w:val="clear" w:color="auto" w:fill="FFFFFF"/>
        <w:spacing w:line="240" w:lineRule="auto"/>
        <w:jc w:val="both"/>
        <w:rPr>
          <w:rFonts w:ascii="Calibri" w:eastAsia="Times New Roman" w:hAnsi="Calibri" w:cs="Calibri"/>
          <w:color w:val="222222"/>
          <w:lang w:eastAsia="es-CO"/>
        </w:rPr>
      </w:pPr>
      <w:r w:rsidRPr="00275F3A">
        <w:rPr>
          <w:rFonts w:ascii="Verdana" w:eastAsia="Times New Roman" w:hAnsi="Verdana" w:cs="Calibri"/>
          <w:color w:val="222222"/>
          <w:lang w:eastAsia="es-CO"/>
        </w:rPr>
        <w:t>En Colombia, las cooperativas, los fondos de empleados y las asociaciones mutuales son Empresas de Economía Solidaria según lo establecido en la Ley 454 de 1998, pero se diferencian principalmente por su origen, quiénes pueden ser sus miembros y el manejo de sus aportes económicos.</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22"/>
        <w:gridCol w:w="2408"/>
        <w:gridCol w:w="2228"/>
        <w:gridCol w:w="2382"/>
      </w:tblGrid>
      <w:tr w:rsidR="002E190F" w:rsidRPr="002E190F" w14:paraId="0EE2AB2E" w14:textId="77777777" w:rsidTr="003D5139">
        <w:trPr>
          <w:tblHeader/>
          <w:tblCellSpacing w:w="15" w:type="dxa"/>
        </w:trPr>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16C7EC4A"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Característica</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0EC0805E"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Cooperativas</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0A095372"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Fondos de Empleados</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22D2DFDB"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Asociaciones Mutuales</w:t>
            </w:r>
          </w:p>
        </w:tc>
      </w:tr>
      <w:tr w:rsidR="002E190F" w:rsidRPr="002E190F" w14:paraId="6373F454" w14:textId="77777777" w:rsidTr="003D5139">
        <w:trPr>
          <w:tblCellSpacing w:w="15" w:type="dxa"/>
        </w:trPr>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28CDB64A"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Ley Principal</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76D6FFA9"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Ley 79 de 1988.</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311ADAE0"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Decreto-Ley 1481 de 1989 y Ley 1391 de 2010.</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6E4B8D2D"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Ley 2143 de 2021.</w:t>
            </w:r>
          </w:p>
        </w:tc>
      </w:tr>
      <w:tr w:rsidR="002E190F" w:rsidRPr="002E190F" w14:paraId="5BBC254A" w14:textId="77777777" w:rsidTr="003D5139">
        <w:trPr>
          <w:tblCellSpacing w:w="15" w:type="dxa"/>
        </w:trPr>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72711374"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Vínculo de Asociación</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77043A48"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Abierto: Cualquier persona natural o jurídica sin ánimo de lucro.</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783CC0C8"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Cerrado: Trabajadores dependientes, servidores públicos o trabajadores asociados de una misma empresa o sector.</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4DBCB6C3" w14:textId="77777777" w:rsidR="002E190F" w:rsidRPr="002E190F" w:rsidRDefault="002E190F" w:rsidP="003D5139">
            <w:pPr>
              <w:spacing w:after="0" w:line="240" w:lineRule="auto"/>
              <w:jc w:val="both"/>
              <w:rPr>
                <w:rFonts w:ascii="Calibri" w:eastAsia="Times New Roman" w:hAnsi="Calibri" w:cs="Calibri"/>
                <w:color w:val="222222"/>
                <w:lang w:eastAsia="es-CO"/>
              </w:rPr>
            </w:pPr>
            <w:proofErr w:type="spellStart"/>
            <w:r w:rsidRPr="002E190F">
              <w:rPr>
                <w:rFonts w:ascii="Verdana" w:eastAsia="Times New Roman" w:hAnsi="Verdana" w:cs="Calibri"/>
                <w:color w:val="1F1F1F"/>
                <w:bdr w:val="none" w:sz="0" w:space="0" w:color="auto" w:frame="1"/>
                <w:lang w:eastAsia="es-CO"/>
              </w:rPr>
              <w:t>Semi-abierto</w:t>
            </w:r>
            <w:proofErr w:type="spellEnd"/>
            <w:r w:rsidRPr="002E190F">
              <w:rPr>
                <w:rFonts w:ascii="Verdana" w:eastAsia="Times New Roman" w:hAnsi="Verdana" w:cs="Calibri"/>
                <w:color w:val="1F1F1F"/>
                <w:bdr w:val="none" w:sz="0" w:space="0" w:color="auto" w:frame="1"/>
                <w:lang w:eastAsia="es-CO"/>
              </w:rPr>
              <w:t>: Personas naturales o jurídicas sin ánimo de lucro unidas por principios de ayuda mutua.</w:t>
            </w:r>
          </w:p>
        </w:tc>
      </w:tr>
      <w:tr w:rsidR="002E190F" w:rsidRPr="002E190F" w14:paraId="45E11463" w14:textId="77777777" w:rsidTr="003D5139">
        <w:trPr>
          <w:tblCellSpacing w:w="15" w:type="dxa"/>
        </w:trPr>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5BEF688A"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Aportes y Ahorros</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0A8A5C1D"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 xml:space="preserve">Los asociados hacen aportes sociales que son retornables. Solo las autorizadas a ejercer actividad financiera pueden proceder con la captación a su </w:t>
            </w:r>
            <w:r w:rsidRPr="002E190F">
              <w:rPr>
                <w:rFonts w:ascii="Verdana" w:eastAsia="Times New Roman" w:hAnsi="Verdana" w:cs="Calibri"/>
                <w:color w:val="1F1F1F"/>
                <w:bdr w:val="none" w:sz="0" w:space="0" w:color="auto" w:frame="1"/>
                <w:lang w:eastAsia="es-CO"/>
              </w:rPr>
              <w:lastRenderedPageBreak/>
              <w:t>base de asociados.</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78FC802D"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lastRenderedPageBreak/>
              <w:t>Obligación de ahorro permanente (mínimo 10% de la cuota) y aportes sociales.</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09CE2EAB"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Realizan contribuciones económicas que </w:t>
            </w:r>
            <w:r w:rsidRPr="002E190F">
              <w:rPr>
                <w:rFonts w:ascii="Verdana" w:eastAsia="Times New Roman" w:hAnsi="Verdana" w:cs="Calibri"/>
                <w:b/>
                <w:bCs/>
                <w:color w:val="1F1F1F"/>
                <w:bdr w:val="none" w:sz="0" w:space="0" w:color="auto" w:frame="1"/>
                <w:lang w:eastAsia="es-CO"/>
              </w:rPr>
              <w:t>no son retornables</w:t>
            </w:r>
            <w:r w:rsidRPr="002E190F">
              <w:rPr>
                <w:rFonts w:ascii="Verdana" w:eastAsia="Times New Roman" w:hAnsi="Verdana" w:cs="Calibri"/>
                <w:color w:val="1F1F1F"/>
                <w:bdr w:val="none" w:sz="0" w:space="0" w:color="auto" w:frame="1"/>
                <w:lang w:eastAsia="es-CO"/>
              </w:rPr>
              <w:t> al asociado.</w:t>
            </w:r>
          </w:p>
        </w:tc>
      </w:tr>
      <w:tr w:rsidR="002E190F" w:rsidRPr="002E190F" w14:paraId="6A41D640" w14:textId="77777777" w:rsidTr="003D5139">
        <w:trPr>
          <w:tblCellSpacing w:w="15" w:type="dxa"/>
        </w:trPr>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66D7F1A1"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b/>
                <w:bCs/>
                <w:color w:val="1F1F1F"/>
                <w:bdr w:val="none" w:sz="0" w:space="0" w:color="auto" w:frame="1"/>
                <w:lang w:eastAsia="es-CO"/>
              </w:rPr>
              <w:t>Servicio de Ahorro y Crédito</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055D9B43"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Requiere autorización especial (especializadas en ahorro y crédito) o sección de ahorro y crédito.</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731A10C9"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Es parte esencial de su objeto social para beneficio exclusivo de sus asociados.</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120" w:type="dxa"/>
              <w:left w:w="180" w:type="dxa"/>
              <w:bottom w:w="120" w:type="dxa"/>
              <w:right w:w="180" w:type="dxa"/>
            </w:tcMar>
            <w:vAlign w:val="center"/>
            <w:hideMark/>
          </w:tcPr>
          <w:p w14:paraId="4A02D8BE" w14:textId="77777777" w:rsidR="002E190F" w:rsidRPr="002E190F" w:rsidRDefault="002E190F" w:rsidP="003D5139">
            <w:pPr>
              <w:spacing w:after="0" w:line="240" w:lineRule="auto"/>
              <w:jc w:val="both"/>
              <w:rPr>
                <w:rFonts w:ascii="Calibri" w:eastAsia="Times New Roman" w:hAnsi="Calibri" w:cs="Calibri"/>
                <w:color w:val="222222"/>
                <w:lang w:eastAsia="es-CO"/>
              </w:rPr>
            </w:pPr>
            <w:r w:rsidRPr="002E190F">
              <w:rPr>
                <w:rFonts w:ascii="Verdana" w:eastAsia="Times New Roman" w:hAnsi="Verdana" w:cs="Calibri"/>
                <w:color w:val="1F1F1F"/>
                <w:bdr w:val="none" w:sz="0" w:space="0" w:color="auto" w:frame="1"/>
                <w:lang w:eastAsia="es-CO"/>
              </w:rPr>
              <w:t>Pueden prestar servicios de ahorro, crédito, salud y previsión social.</w:t>
            </w:r>
          </w:p>
        </w:tc>
      </w:tr>
    </w:tbl>
    <w:p w14:paraId="7BF3DCC5" w14:textId="43F3CC4C" w:rsidR="002E190F" w:rsidRPr="00275F3A" w:rsidRDefault="002E190F" w:rsidP="00275F3A">
      <w:p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75F3A">
        <w:rPr>
          <w:rFonts w:ascii="Verdana" w:eastAsia="Times New Roman" w:hAnsi="Verdana" w:cs="Times New Roman"/>
          <w:b/>
          <w:bCs/>
          <w:color w:val="222222"/>
          <w:lang w:eastAsia="es-CO"/>
        </w:rPr>
        <w:t>Superintendencia de la Economía Solidaria</w:t>
      </w:r>
      <w:r w:rsidRPr="00275F3A">
        <w:rPr>
          <w:rFonts w:ascii="Verdana" w:eastAsia="Times New Roman" w:hAnsi="Verdana" w:cs="Times New Roman"/>
          <w:color w:val="222222"/>
          <w:lang w:eastAsia="es-CO"/>
        </w:rPr>
        <w:t> es el organismo técnico del Estado encargado de ejercer la </w:t>
      </w:r>
      <w:r w:rsidRPr="00275F3A">
        <w:rPr>
          <w:rFonts w:ascii="Verdana" w:eastAsia="Times New Roman" w:hAnsi="Verdana" w:cs="Times New Roman"/>
          <w:b/>
          <w:bCs/>
          <w:color w:val="222222"/>
          <w:lang w:eastAsia="es-CO"/>
        </w:rPr>
        <w:t>vigilancia, inspección y control</w:t>
      </w:r>
      <w:r w:rsidRPr="00275F3A">
        <w:rPr>
          <w:rFonts w:ascii="Verdana" w:eastAsia="Times New Roman" w:hAnsi="Verdana" w:cs="Times New Roman"/>
          <w:color w:val="222222"/>
          <w:lang w:eastAsia="es-CO"/>
        </w:rPr>
        <w:t> sobre estas entidades para asegurar que cumplan con la ley y protejan el ahorro de sus asociados. Sus funciones clave para todas estas organizaciones incluyen:</w:t>
      </w:r>
    </w:p>
    <w:p w14:paraId="7AF16163" w14:textId="77777777" w:rsidR="002E190F" w:rsidRPr="002E190F" w:rsidRDefault="002E190F" w:rsidP="002E190F">
      <w:pPr>
        <w:pStyle w:val="Prrafodelista"/>
        <w:shd w:val="clear" w:color="auto" w:fill="FFFFFF"/>
        <w:spacing w:before="100" w:beforeAutospacing="1" w:after="100" w:afterAutospacing="1" w:line="240" w:lineRule="auto"/>
        <w:jc w:val="both"/>
        <w:rPr>
          <w:rFonts w:ascii="Times New Roman" w:eastAsia="Times New Roman" w:hAnsi="Times New Roman" w:cs="Times New Roman"/>
          <w:color w:val="222222"/>
          <w:lang w:eastAsia="es-CO"/>
        </w:rPr>
      </w:pPr>
    </w:p>
    <w:p w14:paraId="556978D0" w14:textId="77777777" w:rsidR="002E190F" w:rsidRPr="002E190F" w:rsidRDefault="002E190F" w:rsidP="002E190F">
      <w:pPr>
        <w:pStyle w:val="Prrafodelista"/>
        <w:shd w:val="clear" w:color="auto" w:fill="FFFFFF"/>
        <w:spacing w:before="100" w:beforeAutospacing="1" w:after="100" w:afterAutospacing="1" w:line="240" w:lineRule="auto"/>
        <w:jc w:val="both"/>
        <w:rPr>
          <w:rFonts w:ascii="Times New Roman" w:eastAsia="Times New Roman" w:hAnsi="Times New Roman" w:cs="Times New Roman"/>
          <w:color w:val="222222"/>
          <w:lang w:eastAsia="es-CO"/>
        </w:rPr>
      </w:pPr>
      <w:r w:rsidRPr="002E190F">
        <w:rPr>
          <w:rFonts w:ascii="Verdana" w:eastAsia="Times New Roman" w:hAnsi="Verdana" w:cs="Times New Roman"/>
          <w:color w:val="222222"/>
          <w:lang w:eastAsia="es-CO"/>
        </w:rPr>
        <w:t>1.</w:t>
      </w:r>
      <w:r w:rsidRPr="002E190F">
        <w:rPr>
          <w:rFonts w:ascii="Times New Roman" w:eastAsia="Times New Roman" w:hAnsi="Times New Roman" w:cs="Times New Roman"/>
          <w:color w:val="222222"/>
          <w:lang w:eastAsia="es-CO"/>
        </w:rPr>
        <w:t>    </w:t>
      </w:r>
      <w:r w:rsidRPr="002E190F">
        <w:rPr>
          <w:rFonts w:ascii="Verdana" w:eastAsia="Times New Roman" w:hAnsi="Verdana" w:cs="Times New Roman"/>
          <w:b/>
          <w:bCs/>
          <w:color w:val="222222"/>
          <w:lang w:eastAsia="es-CO"/>
        </w:rPr>
        <w:t>Protección del Asociado:</w:t>
      </w:r>
      <w:r w:rsidRPr="002E190F">
        <w:rPr>
          <w:rFonts w:ascii="Verdana" w:eastAsia="Times New Roman" w:hAnsi="Verdana" w:cs="Times New Roman"/>
          <w:color w:val="222222"/>
          <w:lang w:eastAsia="es-CO"/>
        </w:rPr>
        <w:t> Velar por los intereses de los miembros y la comunidad, asegurando que los recursos se manejen correctamente.</w:t>
      </w:r>
    </w:p>
    <w:p w14:paraId="4A4C9828" w14:textId="77777777" w:rsidR="002E190F" w:rsidRPr="002E190F" w:rsidRDefault="002E190F" w:rsidP="002E190F">
      <w:pPr>
        <w:pStyle w:val="Prrafodelista"/>
        <w:shd w:val="clear" w:color="auto" w:fill="FFFFFF"/>
        <w:spacing w:before="100" w:beforeAutospacing="1" w:after="100" w:afterAutospacing="1" w:line="240" w:lineRule="auto"/>
        <w:jc w:val="both"/>
        <w:rPr>
          <w:rFonts w:ascii="Times New Roman" w:eastAsia="Times New Roman" w:hAnsi="Times New Roman" w:cs="Times New Roman"/>
          <w:color w:val="222222"/>
          <w:lang w:eastAsia="es-CO"/>
        </w:rPr>
      </w:pPr>
      <w:r w:rsidRPr="002E190F">
        <w:rPr>
          <w:rFonts w:ascii="Verdana" w:eastAsia="Times New Roman" w:hAnsi="Verdana" w:cs="Times New Roman"/>
          <w:color w:val="222222"/>
          <w:lang w:eastAsia="es-CO"/>
        </w:rPr>
        <w:t>2.</w:t>
      </w:r>
      <w:r w:rsidRPr="002E190F">
        <w:rPr>
          <w:rFonts w:ascii="Times New Roman" w:eastAsia="Times New Roman" w:hAnsi="Times New Roman" w:cs="Times New Roman"/>
          <w:color w:val="222222"/>
          <w:lang w:eastAsia="es-CO"/>
        </w:rPr>
        <w:t>    </w:t>
      </w:r>
      <w:r w:rsidRPr="002E190F">
        <w:rPr>
          <w:rFonts w:ascii="Verdana" w:eastAsia="Times New Roman" w:hAnsi="Verdana" w:cs="Times New Roman"/>
          <w:b/>
          <w:bCs/>
          <w:color w:val="222222"/>
          <w:lang w:eastAsia="es-CO"/>
        </w:rPr>
        <w:t>Niveles de Supervisión:</w:t>
      </w:r>
      <w:r w:rsidRPr="002E190F">
        <w:rPr>
          <w:rFonts w:ascii="Verdana" w:eastAsia="Times New Roman" w:hAnsi="Verdana" w:cs="Times New Roman"/>
          <w:color w:val="222222"/>
          <w:lang w:eastAsia="es-CO"/>
        </w:rPr>
        <w:t> Clasificar a las entidades según sus activos y actividades financieras para aplicar controles diferenciados.</w:t>
      </w:r>
    </w:p>
    <w:p w14:paraId="77761324" w14:textId="77777777" w:rsidR="002E190F" w:rsidRPr="002E190F" w:rsidRDefault="002E190F" w:rsidP="002E190F">
      <w:pPr>
        <w:pStyle w:val="Prrafodelista"/>
        <w:shd w:val="clear" w:color="auto" w:fill="FFFFFF"/>
        <w:spacing w:before="100" w:beforeAutospacing="1" w:after="100" w:afterAutospacing="1" w:line="240" w:lineRule="auto"/>
        <w:jc w:val="both"/>
        <w:rPr>
          <w:rFonts w:ascii="Times New Roman" w:eastAsia="Times New Roman" w:hAnsi="Times New Roman" w:cs="Times New Roman"/>
          <w:color w:val="222222"/>
          <w:lang w:eastAsia="es-CO"/>
        </w:rPr>
      </w:pPr>
      <w:r w:rsidRPr="002E190F">
        <w:rPr>
          <w:rFonts w:ascii="Verdana" w:eastAsia="Times New Roman" w:hAnsi="Verdana" w:cs="Times New Roman"/>
          <w:color w:val="222222"/>
          <w:lang w:eastAsia="es-CO"/>
        </w:rPr>
        <w:t>3.</w:t>
      </w:r>
      <w:r w:rsidRPr="002E190F">
        <w:rPr>
          <w:rFonts w:ascii="Times New Roman" w:eastAsia="Times New Roman" w:hAnsi="Times New Roman" w:cs="Times New Roman"/>
          <w:color w:val="222222"/>
          <w:lang w:eastAsia="es-CO"/>
        </w:rPr>
        <w:t>    </w:t>
      </w:r>
      <w:r w:rsidRPr="002E190F">
        <w:rPr>
          <w:rFonts w:ascii="Verdana" w:eastAsia="Times New Roman" w:hAnsi="Verdana" w:cs="Times New Roman"/>
          <w:b/>
          <w:bCs/>
          <w:color w:val="222222"/>
          <w:lang w:eastAsia="es-CO"/>
        </w:rPr>
        <w:t>Regulación Técnica:</w:t>
      </w:r>
      <w:r w:rsidRPr="002E190F">
        <w:rPr>
          <w:rFonts w:ascii="Verdana" w:eastAsia="Times New Roman" w:hAnsi="Verdana" w:cs="Times New Roman"/>
          <w:color w:val="222222"/>
          <w:lang w:eastAsia="es-CO"/>
        </w:rPr>
        <w:t> Expedir circulares externas (como la </w:t>
      </w:r>
      <w:r w:rsidRPr="002E190F">
        <w:rPr>
          <w:rFonts w:ascii="Verdana" w:eastAsia="Times New Roman" w:hAnsi="Verdana" w:cs="Times New Roman"/>
          <w:b/>
          <w:bCs/>
          <w:color w:val="222222"/>
          <w:lang w:eastAsia="es-CO"/>
        </w:rPr>
        <w:t>Circular 88 de 2025</w:t>
      </w:r>
      <w:r w:rsidRPr="002E190F">
        <w:rPr>
          <w:rFonts w:ascii="Verdana" w:eastAsia="Times New Roman" w:hAnsi="Verdana" w:cs="Times New Roman"/>
          <w:color w:val="222222"/>
          <w:lang w:eastAsia="es-CO"/>
        </w:rPr>
        <w:t>) que establecen guías de </w:t>
      </w:r>
      <w:r w:rsidRPr="002E190F">
        <w:rPr>
          <w:rFonts w:ascii="Verdana" w:eastAsia="Times New Roman" w:hAnsi="Verdana" w:cs="Times New Roman"/>
          <w:b/>
          <w:bCs/>
          <w:color w:val="222222"/>
          <w:lang w:eastAsia="es-CO"/>
        </w:rPr>
        <w:t>Buen Gobierno</w:t>
      </w:r>
      <w:r w:rsidRPr="002E190F">
        <w:rPr>
          <w:rFonts w:ascii="Verdana" w:eastAsia="Times New Roman" w:hAnsi="Verdana" w:cs="Times New Roman"/>
          <w:color w:val="222222"/>
          <w:lang w:eastAsia="es-CO"/>
        </w:rPr>
        <w:t> y mejores prácticas administrativas.</w:t>
      </w:r>
    </w:p>
    <w:p w14:paraId="07C93967" w14:textId="77777777" w:rsidR="002E190F" w:rsidRPr="002E190F" w:rsidRDefault="002E190F" w:rsidP="002E190F">
      <w:pPr>
        <w:pStyle w:val="Prrafodelista"/>
        <w:shd w:val="clear" w:color="auto" w:fill="FFFFFF"/>
        <w:spacing w:before="100" w:beforeAutospacing="1" w:after="100" w:afterAutospacing="1" w:line="240" w:lineRule="auto"/>
        <w:jc w:val="both"/>
        <w:rPr>
          <w:rFonts w:ascii="Times New Roman" w:eastAsia="Times New Roman" w:hAnsi="Times New Roman" w:cs="Times New Roman"/>
          <w:color w:val="222222"/>
          <w:lang w:eastAsia="es-CO"/>
        </w:rPr>
      </w:pPr>
      <w:r w:rsidRPr="002E190F">
        <w:rPr>
          <w:rFonts w:ascii="Verdana" w:eastAsia="Times New Roman" w:hAnsi="Verdana" w:cs="Times New Roman"/>
          <w:color w:val="222222"/>
          <w:lang w:eastAsia="es-CO"/>
        </w:rPr>
        <w:t>4.</w:t>
      </w:r>
      <w:r w:rsidRPr="002E190F">
        <w:rPr>
          <w:rFonts w:ascii="Times New Roman" w:eastAsia="Times New Roman" w:hAnsi="Times New Roman" w:cs="Times New Roman"/>
          <w:color w:val="222222"/>
          <w:lang w:eastAsia="es-CO"/>
        </w:rPr>
        <w:t>    </w:t>
      </w:r>
      <w:r w:rsidRPr="002E190F">
        <w:rPr>
          <w:rFonts w:ascii="Verdana" w:eastAsia="Times New Roman" w:hAnsi="Verdana" w:cs="Times New Roman"/>
          <w:b/>
          <w:bCs/>
          <w:color w:val="222222"/>
          <w:lang w:eastAsia="es-CO"/>
        </w:rPr>
        <w:t>Monitoreo del Impacto Social:</w:t>
      </w:r>
      <w:r w:rsidRPr="002E190F">
        <w:rPr>
          <w:rFonts w:ascii="Verdana" w:eastAsia="Times New Roman" w:hAnsi="Verdana" w:cs="Times New Roman"/>
          <w:color w:val="222222"/>
          <w:lang w:eastAsia="es-CO"/>
        </w:rPr>
        <w:t> Exigir reportes como el </w:t>
      </w:r>
      <w:r w:rsidRPr="002E190F">
        <w:rPr>
          <w:rFonts w:ascii="Verdana" w:eastAsia="Times New Roman" w:hAnsi="Verdana" w:cs="Times New Roman"/>
          <w:b/>
          <w:bCs/>
          <w:color w:val="222222"/>
          <w:lang w:eastAsia="es-CO"/>
        </w:rPr>
        <w:t>Balance Social</w:t>
      </w:r>
      <w:r w:rsidRPr="002E190F">
        <w:rPr>
          <w:rFonts w:ascii="Verdana" w:eastAsia="Times New Roman" w:hAnsi="Verdana" w:cs="Times New Roman"/>
          <w:color w:val="222222"/>
          <w:lang w:eastAsia="es-CO"/>
        </w:rPr>
        <w:t> para verificar que las entidades realmente generen beneficios solidarios y no solo financieros.</w:t>
      </w:r>
    </w:p>
    <w:p w14:paraId="4DABD87E" w14:textId="77777777" w:rsidR="002E190F" w:rsidRPr="002E190F" w:rsidRDefault="002E190F" w:rsidP="002E190F">
      <w:pPr>
        <w:pStyle w:val="Prrafodelista"/>
        <w:shd w:val="clear" w:color="auto" w:fill="FFFFFF"/>
        <w:spacing w:before="100" w:beforeAutospacing="1" w:after="100" w:afterAutospacing="1" w:line="240" w:lineRule="auto"/>
        <w:jc w:val="both"/>
        <w:rPr>
          <w:rFonts w:ascii="Times New Roman" w:eastAsia="Times New Roman" w:hAnsi="Times New Roman" w:cs="Times New Roman"/>
          <w:color w:val="222222"/>
          <w:lang w:eastAsia="es-CO"/>
        </w:rPr>
      </w:pPr>
      <w:r w:rsidRPr="002E190F">
        <w:rPr>
          <w:rFonts w:ascii="Verdana" w:eastAsia="Times New Roman" w:hAnsi="Verdana" w:cs="Times New Roman"/>
          <w:color w:val="222222"/>
          <w:lang w:eastAsia="es-CO"/>
        </w:rPr>
        <w:t>5.</w:t>
      </w:r>
      <w:r w:rsidRPr="002E190F">
        <w:rPr>
          <w:rFonts w:ascii="Times New Roman" w:eastAsia="Times New Roman" w:hAnsi="Times New Roman" w:cs="Times New Roman"/>
          <w:color w:val="222222"/>
          <w:lang w:eastAsia="es-CO"/>
        </w:rPr>
        <w:t>    </w:t>
      </w:r>
      <w:r w:rsidRPr="002E190F">
        <w:rPr>
          <w:rFonts w:ascii="Verdana" w:eastAsia="Times New Roman" w:hAnsi="Verdana" w:cs="Times New Roman"/>
          <w:b/>
          <w:bCs/>
          <w:color w:val="222222"/>
          <w:lang w:eastAsia="es-CO"/>
        </w:rPr>
        <w:t>Poder Sancionatorio:</w:t>
      </w:r>
      <w:r w:rsidRPr="002E190F">
        <w:rPr>
          <w:rFonts w:ascii="Verdana" w:eastAsia="Times New Roman" w:hAnsi="Verdana" w:cs="Times New Roman"/>
          <w:color w:val="222222"/>
          <w:lang w:eastAsia="es-CO"/>
        </w:rPr>
        <w:t> Imponer multas o medidas administrativas si las entidades incumplen las normas de solidez o transparencia.</w:t>
      </w:r>
    </w:p>
    <w:p w14:paraId="61C790DC" w14:textId="77777777" w:rsidR="00E53A04" w:rsidRPr="002E190F" w:rsidRDefault="00E53A04" w:rsidP="00E53A04">
      <w:pPr>
        <w:pStyle w:val="Prrafodelista"/>
        <w:jc w:val="both"/>
        <w:rPr>
          <w:rFonts w:ascii="Verdana" w:hAnsi="Verdana"/>
        </w:rPr>
      </w:pPr>
    </w:p>
    <w:p w14:paraId="2754D604" w14:textId="04F4CB6A" w:rsidR="00E53A04" w:rsidRPr="007216AA" w:rsidRDefault="00E53A04" w:rsidP="00A86758">
      <w:pPr>
        <w:pStyle w:val="Prrafodelista"/>
        <w:numPr>
          <w:ilvl w:val="0"/>
          <w:numId w:val="30"/>
        </w:numPr>
        <w:spacing w:line="256" w:lineRule="auto"/>
        <w:jc w:val="both"/>
        <w:rPr>
          <w:rFonts w:ascii="Verdana" w:hAnsi="Verdana"/>
          <w:b/>
          <w:bCs/>
        </w:rPr>
      </w:pPr>
      <w:bookmarkStart w:id="2" w:name="_Hlk217372537"/>
      <w:r w:rsidRPr="007216AA">
        <w:rPr>
          <w:rFonts w:ascii="Verdana" w:hAnsi="Verdana"/>
          <w:b/>
          <w:bCs/>
        </w:rPr>
        <w:t xml:space="preserve">¿Hay posibilidad de extender el plazo para iniciar el reporte de información por el nuevo sistema ADA? porque hay muchas </w:t>
      </w:r>
      <w:r w:rsidRPr="007216AA">
        <w:rPr>
          <w:rFonts w:ascii="Verdana" w:hAnsi="Verdana"/>
          <w:b/>
          <w:bCs/>
        </w:rPr>
        <w:lastRenderedPageBreak/>
        <w:t>dudas y errores en la plataforma, en las validaciones se han encontrado falta de validaciones y otras validaciones que al generar el error no es claro.</w:t>
      </w:r>
      <w:bookmarkEnd w:id="2"/>
    </w:p>
    <w:p w14:paraId="37EA05E9" w14:textId="29E38FCA" w:rsidR="00483682" w:rsidRDefault="00483682" w:rsidP="00483682">
      <w:pPr>
        <w:spacing w:line="256" w:lineRule="auto"/>
        <w:jc w:val="both"/>
        <w:rPr>
          <w:rFonts w:ascii="Verdana" w:hAnsi="Verdana"/>
        </w:rPr>
      </w:pPr>
      <w:r>
        <w:rPr>
          <w:rFonts w:ascii="Verdana" w:hAnsi="Verdana"/>
        </w:rPr>
        <w:t xml:space="preserve">Actualmente, </w:t>
      </w:r>
      <w:r w:rsidRPr="00483682">
        <w:rPr>
          <w:rFonts w:ascii="Verdana" w:hAnsi="Verdana"/>
        </w:rPr>
        <w:t>no existe una disposición que contemple extender el plazo más allá del periodo de transición definido. Sin embargo,</w:t>
      </w:r>
      <w:r>
        <w:rPr>
          <w:rFonts w:ascii="Verdana" w:hAnsi="Verdana"/>
        </w:rPr>
        <w:t xml:space="preserve"> este periodo de transición establecido comprende fases que permitan una adopción de la plataforma de manera segura:</w:t>
      </w:r>
    </w:p>
    <w:p w14:paraId="5CCDA223" w14:textId="77777777" w:rsidR="00483682" w:rsidRDefault="00483682" w:rsidP="00483682">
      <w:pPr>
        <w:pStyle w:val="Prrafodelista"/>
        <w:numPr>
          <w:ilvl w:val="0"/>
          <w:numId w:val="30"/>
        </w:numPr>
        <w:spacing w:line="256" w:lineRule="auto"/>
        <w:jc w:val="both"/>
        <w:rPr>
          <w:rFonts w:ascii="Verdana" w:hAnsi="Verdana"/>
        </w:rPr>
      </w:pPr>
      <w:r w:rsidRPr="00483682">
        <w:rPr>
          <w:rFonts w:ascii="Verdana" w:hAnsi="Verdana"/>
        </w:rPr>
        <w:t xml:space="preserve">Uso Paralelo (Plan de Contingencia): Durante los meses de septiembre, octubre, noviembre y diciembre de 2025, el reporte se </w:t>
      </w:r>
      <w:r w:rsidRPr="00483682">
        <w:rPr>
          <w:rFonts w:ascii="Verdana" w:hAnsi="Verdana"/>
        </w:rPr>
        <w:t xml:space="preserve">presentó </w:t>
      </w:r>
      <w:r w:rsidRPr="00483682">
        <w:rPr>
          <w:rFonts w:ascii="Verdana" w:hAnsi="Verdana"/>
        </w:rPr>
        <w:t>tanto por el antiguo SICSES como por el nuevo sistema ADA.</w:t>
      </w:r>
      <w:r w:rsidRPr="00483682">
        <w:rPr>
          <w:rFonts w:ascii="Verdana" w:hAnsi="Verdana"/>
        </w:rPr>
        <w:t xml:space="preserve"> </w:t>
      </w:r>
      <w:r w:rsidRPr="00483682">
        <w:rPr>
          <w:rFonts w:ascii="Verdana" w:hAnsi="Verdana"/>
        </w:rPr>
        <w:t>Esto significa que</w:t>
      </w:r>
      <w:r>
        <w:rPr>
          <w:rFonts w:ascii="Verdana" w:hAnsi="Verdana"/>
        </w:rPr>
        <w:t>,</w:t>
      </w:r>
      <w:r w:rsidRPr="00483682">
        <w:rPr>
          <w:rFonts w:ascii="Verdana" w:hAnsi="Verdana"/>
        </w:rPr>
        <w:t xml:space="preserve"> si </w:t>
      </w:r>
      <w:r w:rsidRPr="00483682">
        <w:rPr>
          <w:rFonts w:ascii="Verdana" w:hAnsi="Verdana"/>
        </w:rPr>
        <w:t xml:space="preserve">se encuentran </w:t>
      </w:r>
      <w:r w:rsidRPr="00483682">
        <w:rPr>
          <w:rFonts w:ascii="Verdana" w:hAnsi="Verdana"/>
        </w:rPr>
        <w:t>errores bloqueantes o validaciones poco claras en ADA,</w:t>
      </w:r>
      <w:r w:rsidRPr="00483682">
        <w:rPr>
          <w:rFonts w:ascii="Verdana" w:hAnsi="Verdana"/>
        </w:rPr>
        <w:t xml:space="preserve"> se puede </w:t>
      </w:r>
      <w:r w:rsidRPr="00483682">
        <w:rPr>
          <w:rFonts w:ascii="Verdana" w:hAnsi="Verdana"/>
        </w:rPr>
        <w:t xml:space="preserve">cumplir </w:t>
      </w:r>
      <w:r w:rsidRPr="00483682">
        <w:rPr>
          <w:rFonts w:ascii="Verdana" w:hAnsi="Verdana"/>
        </w:rPr>
        <w:t xml:space="preserve">la </w:t>
      </w:r>
      <w:r w:rsidRPr="00483682">
        <w:rPr>
          <w:rFonts w:ascii="Verdana" w:hAnsi="Verdana"/>
        </w:rPr>
        <w:t xml:space="preserve">obligación </w:t>
      </w:r>
      <w:r w:rsidRPr="00483682">
        <w:rPr>
          <w:rFonts w:ascii="Verdana" w:hAnsi="Verdana"/>
        </w:rPr>
        <w:t xml:space="preserve">de reporte </w:t>
      </w:r>
      <w:r w:rsidRPr="00483682">
        <w:rPr>
          <w:rFonts w:ascii="Verdana" w:hAnsi="Verdana"/>
        </w:rPr>
        <w:t>utilizando el SICSES y</w:t>
      </w:r>
      <w:r w:rsidRPr="00483682">
        <w:rPr>
          <w:rFonts w:ascii="Verdana" w:hAnsi="Verdana"/>
        </w:rPr>
        <w:t>/o</w:t>
      </w:r>
      <w:r w:rsidRPr="00483682">
        <w:rPr>
          <w:rFonts w:ascii="Verdana" w:hAnsi="Verdana"/>
        </w:rPr>
        <w:t xml:space="preserve"> el "Nuevo Cargador" mientras se estabiliza la plataforma nueva.</w:t>
      </w:r>
    </w:p>
    <w:p w14:paraId="06F8C7EF" w14:textId="65DCA5B3" w:rsidR="00483682" w:rsidRPr="00483682" w:rsidRDefault="00483682" w:rsidP="00483682">
      <w:pPr>
        <w:pStyle w:val="Prrafodelista"/>
        <w:spacing w:line="256" w:lineRule="auto"/>
        <w:jc w:val="both"/>
        <w:rPr>
          <w:rFonts w:ascii="Verdana" w:hAnsi="Verdana"/>
        </w:rPr>
      </w:pPr>
      <w:r w:rsidRPr="00483682">
        <w:rPr>
          <w:rFonts w:ascii="Verdana" w:hAnsi="Verdana"/>
        </w:rPr>
        <w:t xml:space="preserve">Aunque ambos canales están abiertos, la Supersolidaria recomienda intentar usar ADA para detectar estos fallos y reportarlos </w:t>
      </w:r>
      <w:r w:rsidRPr="00483682">
        <w:rPr>
          <w:rFonts w:ascii="Verdana" w:hAnsi="Verdana"/>
        </w:rPr>
        <w:t>para la mejora continua del sistema</w:t>
      </w:r>
    </w:p>
    <w:p w14:paraId="366DBE63" w14:textId="5A277A18" w:rsidR="00483682" w:rsidRDefault="00483682" w:rsidP="00483682">
      <w:pPr>
        <w:pStyle w:val="Prrafodelista"/>
        <w:numPr>
          <w:ilvl w:val="0"/>
          <w:numId w:val="30"/>
        </w:numPr>
        <w:spacing w:line="256" w:lineRule="auto"/>
        <w:jc w:val="both"/>
        <w:rPr>
          <w:rFonts w:ascii="Verdana" w:hAnsi="Verdana"/>
        </w:rPr>
      </w:pPr>
      <w:r w:rsidRPr="00483682">
        <w:rPr>
          <w:rFonts w:ascii="Verdana" w:hAnsi="Verdana"/>
        </w:rPr>
        <w:t xml:space="preserve">El cronograma </w:t>
      </w:r>
      <w:r>
        <w:rPr>
          <w:rFonts w:ascii="Verdana" w:hAnsi="Verdana"/>
        </w:rPr>
        <w:t xml:space="preserve">de adopción </w:t>
      </w:r>
      <w:r w:rsidRPr="00483682">
        <w:rPr>
          <w:rFonts w:ascii="Verdana" w:hAnsi="Verdana"/>
        </w:rPr>
        <w:t xml:space="preserve">podría estar sujeto a cambios, </w:t>
      </w:r>
      <w:r>
        <w:rPr>
          <w:rFonts w:ascii="Verdana" w:hAnsi="Verdana"/>
        </w:rPr>
        <w:t xml:space="preserve">sin embargo, actualmente las </w:t>
      </w:r>
      <w:r w:rsidRPr="00483682">
        <w:rPr>
          <w:rFonts w:ascii="Verdana" w:hAnsi="Verdana"/>
        </w:rPr>
        <w:t>fechas actuales son de cumplimiento estricto salvo nuevo aviso oficial.</w:t>
      </w:r>
    </w:p>
    <w:p w14:paraId="18E81BD3" w14:textId="7E715FD7" w:rsidR="00483682" w:rsidRPr="00483682" w:rsidRDefault="00483682" w:rsidP="00483682">
      <w:pPr>
        <w:spacing w:line="256" w:lineRule="auto"/>
        <w:jc w:val="both"/>
        <w:rPr>
          <w:rFonts w:ascii="Verdana" w:hAnsi="Verdana"/>
        </w:rPr>
      </w:pPr>
      <w:r>
        <w:rPr>
          <w:rFonts w:ascii="Verdana" w:hAnsi="Verdana"/>
        </w:rPr>
        <w:t xml:space="preserve">Finalmente se indica que, </w:t>
      </w:r>
      <w:r w:rsidRPr="00483682">
        <w:rPr>
          <w:rFonts w:ascii="Verdana" w:hAnsi="Verdana"/>
        </w:rPr>
        <w:t>para reportar los errores de validación</w:t>
      </w:r>
      <w:r>
        <w:rPr>
          <w:rFonts w:ascii="Verdana" w:hAnsi="Verdana"/>
        </w:rPr>
        <w:t xml:space="preserve"> o </w:t>
      </w:r>
      <w:r w:rsidRPr="00483682">
        <w:rPr>
          <w:rFonts w:ascii="Verdana" w:hAnsi="Verdana"/>
        </w:rPr>
        <w:t>fallas técnicas específicas</w:t>
      </w:r>
      <w:r>
        <w:rPr>
          <w:rFonts w:ascii="Verdana" w:hAnsi="Verdana"/>
        </w:rPr>
        <w:t xml:space="preserve">, </w:t>
      </w:r>
      <w:r w:rsidRPr="00483682">
        <w:rPr>
          <w:rFonts w:ascii="Verdana" w:hAnsi="Verdana"/>
        </w:rPr>
        <w:t xml:space="preserve">los </w:t>
      </w:r>
      <w:r w:rsidRPr="00483682">
        <w:rPr>
          <w:rFonts w:ascii="Verdana" w:hAnsi="Verdana"/>
        </w:rPr>
        <w:t>canales exclusivos de soporte técnico para atender estos casos durante la transición:</w:t>
      </w:r>
    </w:p>
    <w:p w14:paraId="1B803B48" w14:textId="6B0D485F" w:rsidR="00483682" w:rsidRPr="00483682" w:rsidRDefault="00483682" w:rsidP="00483682">
      <w:pPr>
        <w:pStyle w:val="Prrafodelista"/>
        <w:numPr>
          <w:ilvl w:val="1"/>
          <w:numId w:val="47"/>
        </w:numPr>
        <w:spacing w:line="256" w:lineRule="auto"/>
        <w:jc w:val="both"/>
        <w:rPr>
          <w:rFonts w:ascii="Verdana" w:hAnsi="Verdana"/>
        </w:rPr>
      </w:pPr>
      <w:r w:rsidRPr="00483682">
        <w:rPr>
          <w:rFonts w:ascii="Verdana" w:hAnsi="Verdana"/>
          <w:b/>
          <w:bCs/>
        </w:rPr>
        <w:t>Correo electrónico:</w:t>
      </w:r>
      <w:r w:rsidRPr="00483682">
        <w:rPr>
          <w:rFonts w:ascii="Verdana" w:hAnsi="Verdana"/>
        </w:rPr>
        <w:t xml:space="preserve"> ada@supersolidaria.gov.co.</w:t>
      </w:r>
    </w:p>
    <w:p w14:paraId="216F0A88" w14:textId="74B566FD" w:rsidR="00483682" w:rsidRPr="00483682" w:rsidRDefault="00483682" w:rsidP="00483682">
      <w:pPr>
        <w:pStyle w:val="Prrafodelista"/>
        <w:numPr>
          <w:ilvl w:val="1"/>
          <w:numId w:val="47"/>
        </w:numPr>
        <w:spacing w:line="256" w:lineRule="auto"/>
        <w:jc w:val="both"/>
        <w:rPr>
          <w:rFonts w:ascii="Verdana" w:hAnsi="Verdana"/>
        </w:rPr>
      </w:pPr>
      <w:r w:rsidRPr="00483682">
        <w:rPr>
          <w:rFonts w:ascii="Verdana" w:hAnsi="Verdana"/>
          <w:b/>
          <w:bCs/>
        </w:rPr>
        <w:t>Línea telefónica:</w:t>
      </w:r>
      <w:r w:rsidRPr="00483682">
        <w:rPr>
          <w:rFonts w:ascii="Verdana" w:hAnsi="Verdana"/>
        </w:rPr>
        <w:t xml:space="preserve"> (601) 756 0557 extensiones 10407, 10408, 10409 o 10410.</w:t>
      </w:r>
    </w:p>
    <w:p w14:paraId="3BF3C0EC" w14:textId="147169E7" w:rsidR="00483682" w:rsidRPr="00483682" w:rsidRDefault="00483682" w:rsidP="00483682">
      <w:pPr>
        <w:pStyle w:val="Prrafodelista"/>
        <w:numPr>
          <w:ilvl w:val="1"/>
          <w:numId w:val="47"/>
        </w:numPr>
        <w:spacing w:line="256" w:lineRule="auto"/>
        <w:jc w:val="both"/>
        <w:rPr>
          <w:rFonts w:ascii="Verdana" w:hAnsi="Verdana"/>
        </w:rPr>
      </w:pPr>
      <w:r w:rsidRPr="00483682">
        <w:rPr>
          <w:rFonts w:ascii="Verdana" w:hAnsi="Verdana"/>
          <w:b/>
          <w:bCs/>
        </w:rPr>
        <w:t>Google Chat:</w:t>
      </w:r>
      <w:r w:rsidRPr="00483682">
        <w:rPr>
          <w:rFonts w:ascii="Verdana" w:hAnsi="Verdana"/>
        </w:rPr>
        <w:t xml:space="preserve"> ada@supersolidaria.gov.co.</w:t>
      </w:r>
    </w:p>
    <w:p w14:paraId="3D9FAD9A" w14:textId="38C6FC7B" w:rsidR="00483682" w:rsidRPr="00483682" w:rsidRDefault="00483682" w:rsidP="00483682">
      <w:pPr>
        <w:spacing w:line="256" w:lineRule="auto"/>
        <w:jc w:val="both"/>
        <w:rPr>
          <w:rFonts w:ascii="Verdana" w:hAnsi="Verdana"/>
        </w:rPr>
      </w:pPr>
    </w:p>
    <w:p w14:paraId="16648B8A" w14:textId="55F7FFD5" w:rsidR="002E190F" w:rsidRPr="00B35787" w:rsidRDefault="00E53A04" w:rsidP="00A86758">
      <w:pPr>
        <w:pStyle w:val="Prrafodelista"/>
        <w:numPr>
          <w:ilvl w:val="0"/>
          <w:numId w:val="30"/>
        </w:numPr>
        <w:spacing w:line="256" w:lineRule="auto"/>
        <w:jc w:val="both"/>
        <w:rPr>
          <w:rFonts w:ascii="Verdana" w:hAnsi="Verdana"/>
          <w:b/>
          <w:bCs/>
        </w:rPr>
      </w:pPr>
      <w:r w:rsidRPr="00B35787">
        <w:rPr>
          <w:rFonts w:ascii="Verdana" w:hAnsi="Verdana"/>
          <w:b/>
          <w:bCs/>
        </w:rPr>
        <w:t>En temas de participación, las poblaciones vulnerables ¿cómo pueden acceder a las líneas de fortalecimiento de la entidad?</w:t>
      </w:r>
    </w:p>
    <w:p w14:paraId="7F7CA294" w14:textId="77777777" w:rsidR="002E190F" w:rsidRPr="00A86758" w:rsidRDefault="002E190F" w:rsidP="002E190F">
      <w:pPr>
        <w:shd w:val="clear" w:color="auto" w:fill="FFFFFF"/>
        <w:spacing w:before="100" w:beforeAutospacing="1" w:after="100" w:afterAutospacing="1" w:line="240" w:lineRule="auto"/>
        <w:jc w:val="both"/>
        <w:outlineLvl w:val="2"/>
        <w:rPr>
          <w:rFonts w:ascii="Verdana" w:eastAsia="Times New Roman" w:hAnsi="Verdana" w:cs="Times New Roman"/>
          <w:b/>
          <w:bCs/>
          <w:lang w:eastAsia="es-CO"/>
        </w:rPr>
      </w:pPr>
      <w:r w:rsidRPr="002E190F">
        <w:rPr>
          <w:rFonts w:ascii="Verdana" w:eastAsia="Times New Roman" w:hAnsi="Verdana" w:cs="Times New Roman"/>
          <w:b/>
          <w:bCs/>
          <w:color w:val="222222"/>
          <w:lang w:eastAsia="es-CO"/>
        </w:rPr>
        <w:t xml:space="preserve">1. </w:t>
      </w:r>
      <w:r w:rsidRPr="00A86758">
        <w:rPr>
          <w:rFonts w:ascii="Verdana" w:eastAsia="Times New Roman" w:hAnsi="Verdana" w:cs="Times New Roman"/>
          <w:b/>
          <w:bCs/>
          <w:lang w:eastAsia="es-CO"/>
        </w:rPr>
        <w:t>Economía Popular para el Cambio (Incentivos Productivos)</w:t>
      </w:r>
    </w:p>
    <w:p w14:paraId="6B760F62" w14:textId="77777777" w:rsidR="002E190F" w:rsidRPr="00A86758" w:rsidRDefault="002E190F" w:rsidP="002E190F">
      <w:pPr>
        <w:shd w:val="clear" w:color="auto" w:fill="FFFFFF"/>
        <w:spacing w:before="100" w:beforeAutospacing="1" w:after="100" w:afterAutospacing="1" w:line="240" w:lineRule="auto"/>
        <w:jc w:val="both"/>
        <w:rPr>
          <w:rFonts w:ascii="Verdana" w:eastAsia="Times New Roman" w:hAnsi="Verdana" w:cs="Times New Roman"/>
          <w:lang w:eastAsia="es-CO"/>
        </w:rPr>
      </w:pPr>
      <w:r w:rsidRPr="00A86758">
        <w:rPr>
          <w:rFonts w:ascii="Verdana" w:eastAsia="Times New Roman" w:hAnsi="Verdana" w:cs="Times New Roman"/>
          <w:lang w:eastAsia="es-CO"/>
        </w:rPr>
        <w:t>A través del Departamento para la Prosperidad Social (DPS), se promueve la autosostenibilidad de personas en pobreza extrema y víctimas.</w:t>
      </w:r>
    </w:p>
    <w:p w14:paraId="2B391A1D" w14:textId="5F547C36" w:rsidR="002E190F" w:rsidRPr="002E190F" w:rsidRDefault="002E190F" w:rsidP="002E190F">
      <w:pPr>
        <w:pStyle w:val="Prrafodelista"/>
        <w:numPr>
          <w:ilvl w:val="0"/>
          <w:numId w:val="40"/>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A86758">
        <w:rPr>
          <w:rFonts w:ascii="Verdana" w:eastAsia="Times New Roman" w:hAnsi="Verdana" w:cs="Times New Roman"/>
          <w:b/>
          <w:bCs/>
          <w:lang w:eastAsia="es-CO"/>
        </w:rPr>
        <w:lastRenderedPageBreak/>
        <w:t>Incentivos Económicos:</w:t>
      </w:r>
      <w:r w:rsidRPr="00A86758">
        <w:rPr>
          <w:rFonts w:ascii="Verdana" w:eastAsia="Times New Roman" w:hAnsi="Verdana" w:cs="Times New Roman"/>
          <w:lang w:eastAsia="es-CO"/>
        </w:rPr>
        <w:t> Se ofrecen apoyos financieros para iniciativas colectivas solidarias robustas (mínimo 20 asociados y 2 años de antigüedad) que pueden alcanzar hasta </w:t>
      </w:r>
      <w:r w:rsidRPr="00A86758">
        <w:rPr>
          <w:rFonts w:ascii="Verdana" w:eastAsia="Times New Roman" w:hAnsi="Verdana" w:cs="Times New Roman"/>
          <w:b/>
          <w:bCs/>
          <w:lang w:eastAsia="es-CO"/>
        </w:rPr>
        <w:t>$50 millones de pesos</w:t>
      </w:r>
      <w:r w:rsidRPr="00A86758">
        <w:rPr>
          <w:rFonts w:ascii="Verdana" w:eastAsia="Times New Roman" w:hAnsi="Verdana" w:cs="Times New Roman"/>
          <w:lang w:eastAsia="es-CO"/>
        </w:rPr>
        <w:t xml:space="preserve"> para fortalecer sus proyectos </w:t>
      </w:r>
      <w:r w:rsidRPr="002E190F">
        <w:rPr>
          <w:rFonts w:ascii="Verdana" w:eastAsia="Times New Roman" w:hAnsi="Verdana" w:cs="Times New Roman"/>
          <w:color w:val="222222"/>
          <w:lang w:eastAsia="es-CO"/>
        </w:rPr>
        <w:t>productivos.</w:t>
      </w:r>
    </w:p>
    <w:p w14:paraId="48AB9996" w14:textId="6BBF4082" w:rsidR="002E190F" w:rsidRPr="002E190F" w:rsidRDefault="002E190F" w:rsidP="002E190F">
      <w:pPr>
        <w:pStyle w:val="Prrafodelista"/>
        <w:numPr>
          <w:ilvl w:val="0"/>
          <w:numId w:val="40"/>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t>Acompañamiento Técnico:</w:t>
      </w:r>
      <w:r w:rsidRPr="002E190F">
        <w:rPr>
          <w:rFonts w:ascii="Verdana" w:eastAsia="Times New Roman" w:hAnsi="Verdana" w:cs="Times New Roman"/>
          <w:color w:val="222222"/>
          <w:lang w:eastAsia="es-CO"/>
        </w:rPr>
        <w:t> Incluye asistencia para mejorar la capacidad asociativa y técnica de las organizaciones de economía popular y solidaria.</w:t>
      </w:r>
    </w:p>
    <w:p w14:paraId="7A2FDB2B" w14:textId="77777777" w:rsidR="002E190F" w:rsidRPr="002E190F" w:rsidRDefault="002E190F" w:rsidP="002E190F">
      <w:pPr>
        <w:shd w:val="clear" w:color="auto" w:fill="FFFFFF"/>
        <w:spacing w:before="100" w:beforeAutospacing="1" w:after="100" w:afterAutospacing="1" w:line="240" w:lineRule="auto"/>
        <w:jc w:val="both"/>
        <w:outlineLvl w:val="2"/>
        <w:rPr>
          <w:rFonts w:ascii="Verdana" w:eastAsia="Times New Roman" w:hAnsi="Verdana" w:cs="Times New Roman"/>
          <w:b/>
          <w:bCs/>
          <w:color w:val="222222"/>
          <w:lang w:eastAsia="es-CO"/>
        </w:rPr>
      </w:pPr>
      <w:r w:rsidRPr="002E190F">
        <w:rPr>
          <w:rFonts w:ascii="Verdana" w:eastAsia="Times New Roman" w:hAnsi="Verdana" w:cs="Times New Roman"/>
          <w:b/>
          <w:bCs/>
          <w:color w:val="222222"/>
          <w:lang w:eastAsia="es-CO"/>
        </w:rPr>
        <w:t>2. Inclusión de Juventudes Rurales (Ley 2539 de 2025)</w:t>
      </w:r>
    </w:p>
    <w:p w14:paraId="18F7EBFF" w14:textId="77777777" w:rsidR="002E190F" w:rsidRPr="002E190F" w:rsidRDefault="002E190F" w:rsidP="002E190F">
      <w:p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color w:val="222222"/>
          <w:lang w:eastAsia="es-CO"/>
        </w:rPr>
        <w:t>Esta nueva ley garantiza espacios de poder y acceso a recursos para los jóvenes en el campo (desde los 14 años).</w:t>
      </w:r>
    </w:p>
    <w:p w14:paraId="7A255459" w14:textId="4B2DB052" w:rsidR="002E190F" w:rsidRPr="002E190F" w:rsidRDefault="002E190F" w:rsidP="002E190F">
      <w:pPr>
        <w:pStyle w:val="Prrafodelista"/>
        <w:numPr>
          <w:ilvl w:val="0"/>
          <w:numId w:val="41"/>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t>Cuota de Participación:</w:t>
      </w:r>
      <w:r w:rsidRPr="002E190F">
        <w:rPr>
          <w:rFonts w:ascii="Verdana" w:eastAsia="Times New Roman" w:hAnsi="Verdana" w:cs="Times New Roman"/>
          <w:color w:val="222222"/>
          <w:lang w:eastAsia="es-CO"/>
        </w:rPr>
        <w:t> Se exige una participación paritaria de jóvenes rurales de mínimo el </w:t>
      </w:r>
      <w:r w:rsidRPr="002E190F">
        <w:rPr>
          <w:rFonts w:ascii="Verdana" w:eastAsia="Times New Roman" w:hAnsi="Verdana" w:cs="Times New Roman"/>
          <w:b/>
          <w:bCs/>
          <w:color w:val="222222"/>
          <w:lang w:eastAsia="es-CO"/>
        </w:rPr>
        <w:t>20%</w:t>
      </w:r>
      <w:r w:rsidRPr="002E190F">
        <w:rPr>
          <w:rFonts w:ascii="Verdana" w:eastAsia="Times New Roman" w:hAnsi="Verdana" w:cs="Times New Roman"/>
          <w:color w:val="222222"/>
          <w:lang w:eastAsia="es-CO"/>
        </w:rPr>
        <w:t> en las distintas instancias de participación de las comunidades.</w:t>
      </w:r>
    </w:p>
    <w:p w14:paraId="0521DBD0" w14:textId="564DD1F8" w:rsidR="002E190F" w:rsidRPr="002E190F" w:rsidRDefault="002E190F" w:rsidP="002E190F">
      <w:pPr>
        <w:pStyle w:val="Prrafodelista"/>
        <w:numPr>
          <w:ilvl w:val="0"/>
          <w:numId w:val="41"/>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t>Acceso a Tierras:</w:t>
      </w:r>
      <w:r w:rsidRPr="002E190F">
        <w:rPr>
          <w:rFonts w:ascii="Verdana" w:eastAsia="Times New Roman" w:hAnsi="Verdana" w:cs="Times New Roman"/>
          <w:color w:val="222222"/>
          <w:lang w:eastAsia="es-CO"/>
        </w:rPr>
        <w:t> Las cooperativas del sector solidario con vocación agraria cuyos miembros sean jóvenes víctimas del conflicto tienen prioridad en los programas de formalización y acceso a tierras a título gratuito.</w:t>
      </w:r>
    </w:p>
    <w:p w14:paraId="7EFA693D" w14:textId="77777777" w:rsidR="002E190F" w:rsidRPr="002E190F" w:rsidRDefault="002E190F" w:rsidP="002E190F">
      <w:pPr>
        <w:shd w:val="clear" w:color="auto" w:fill="FFFFFF"/>
        <w:spacing w:before="100" w:beforeAutospacing="1" w:after="100" w:afterAutospacing="1" w:line="240" w:lineRule="auto"/>
        <w:jc w:val="both"/>
        <w:outlineLvl w:val="2"/>
        <w:rPr>
          <w:rFonts w:ascii="Verdana" w:eastAsia="Times New Roman" w:hAnsi="Verdana" w:cs="Times New Roman"/>
          <w:b/>
          <w:bCs/>
          <w:color w:val="222222"/>
          <w:lang w:eastAsia="es-CO"/>
        </w:rPr>
      </w:pPr>
      <w:r w:rsidRPr="002E190F">
        <w:rPr>
          <w:rFonts w:ascii="Verdana" w:eastAsia="Times New Roman" w:hAnsi="Verdana" w:cs="Times New Roman"/>
          <w:b/>
          <w:bCs/>
          <w:color w:val="222222"/>
          <w:lang w:eastAsia="es-CO"/>
        </w:rPr>
        <w:t>3. Alianzas de Financiamiento y Crédito</w:t>
      </w:r>
    </w:p>
    <w:p w14:paraId="67A44F94" w14:textId="77777777" w:rsidR="002E190F" w:rsidRPr="002E190F" w:rsidRDefault="002E190F" w:rsidP="002E190F">
      <w:p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color w:val="222222"/>
          <w:lang w:eastAsia="es-CO"/>
        </w:rPr>
        <w:t>La Supersolidaria, en conjunto con el Grupo Bicentenario y el Fondo Nacional de Garantías (FNG), ha diseñado estrategias para facilitar el crédito a segmentos tradicionalmente desatendidos.</w:t>
      </w:r>
    </w:p>
    <w:p w14:paraId="258DDBE0" w14:textId="1F5BDD1E" w:rsidR="002E190F" w:rsidRPr="002E190F" w:rsidRDefault="002E190F" w:rsidP="002E190F">
      <w:pPr>
        <w:pStyle w:val="Prrafodelista"/>
        <w:numPr>
          <w:ilvl w:val="0"/>
          <w:numId w:val="38"/>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t>Cierre a la "Gota a Gota":</w:t>
      </w:r>
      <w:r w:rsidRPr="002E190F">
        <w:rPr>
          <w:rFonts w:ascii="Verdana" w:eastAsia="Times New Roman" w:hAnsi="Verdana" w:cs="Times New Roman"/>
          <w:color w:val="222222"/>
          <w:lang w:eastAsia="es-CO"/>
        </w:rPr>
        <w:t> Se han lanzado líneas de microcrédito (desde $400.000 hasta $15 millones) para emprendedores de la economía popular, buscando su inclusión financiera real.</w:t>
      </w:r>
    </w:p>
    <w:p w14:paraId="4E38E48F" w14:textId="6C1A0D5A" w:rsidR="002E190F" w:rsidRPr="002E190F" w:rsidRDefault="002E190F" w:rsidP="002E190F">
      <w:pPr>
        <w:pStyle w:val="Prrafodelista"/>
        <w:numPr>
          <w:ilvl w:val="0"/>
          <w:numId w:val="38"/>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t>Garantías Especiales:</w:t>
      </w:r>
      <w:r w:rsidRPr="002E190F">
        <w:rPr>
          <w:rFonts w:ascii="Verdana" w:eastAsia="Times New Roman" w:hAnsi="Verdana" w:cs="Times New Roman"/>
          <w:color w:val="222222"/>
          <w:lang w:eastAsia="es-CO"/>
        </w:rPr>
        <w:t> El FNG actúa como respaldo para que las organizaciones solidarias de poblaciones vulnerables puedan acceder a recursos de la banca formal.</w:t>
      </w:r>
    </w:p>
    <w:p w14:paraId="77A52706" w14:textId="77777777" w:rsidR="002E190F" w:rsidRPr="002E190F" w:rsidRDefault="002E190F" w:rsidP="002E190F">
      <w:pPr>
        <w:shd w:val="clear" w:color="auto" w:fill="FFFFFF"/>
        <w:spacing w:before="100" w:beforeAutospacing="1" w:after="100" w:afterAutospacing="1" w:line="240" w:lineRule="auto"/>
        <w:jc w:val="both"/>
        <w:outlineLvl w:val="2"/>
        <w:rPr>
          <w:rFonts w:ascii="Verdana" w:eastAsia="Times New Roman" w:hAnsi="Verdana" w:cs="Times New Roman"/>
          <w:b/>
          <w:bCs/>
          <w:color w:val="222222"/>
          <w:lang w:eastAsia="es-CO"/>
        </w:rPr>
      </w:pPr>
      <w:r w:rsidRPr="002E190F">
        <w:rPr>
          <w:rFonts w:ascii="Verdana" w:eastAsia="Times New Roman" w:hAnsi="Verdana" w:cs="Times New Roman"/>
          <w:b/>
          <w:bCs/>
          <w:color w:val="222222"/>
          <w:lang w:eastAsia="es-CO"/>
        </w:rPr>
        <w:t>4. Fortalecimiento Territorial</w:t>
      </w:r>
    </w:p>
    <w:p w14:paraId="15D712A9" w14:textId="77777777" w:rsidR="002E190F" w:rsidRPr="002E190F" w:rsidRDefault="002E190F" w:rsidP="002E190F">
      <w:p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color w:val="222222"/>
          <w:lang w:eastAsia="es-CO"/>
        </w:rPr>
        <w:t>Existen acuerdos específicos entre la Supersolidaria y entes territoriales (como el sellado con Bogotá en julio de 2025) para impulsar la economía solidaria local.</w:t>
      </w:r>
    </w:p>
    <w:p w14:paraId="76F38C12" w14:textId="2A35A7CD" w:rsidR="002E190F" w:rsidRPr="002E190F" w:rsidRDefault="002E190F" w:rsidP="002E190F">
      <w:pPr>
        <w:pStyle w:val="Prrafodelista"/>
        <w:numPr>
          <w:ilvl w:val="0"/>
          <w:numId w:val="43"/>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lastRenderedPageBreak/>
        <w:t>Inclusión Social y Reconciliación:</w:t>
      </w:r>
      <w:r w:rsidRPr="002E190F">
        <w:rPr>
          <w:rFonts w:ascii="Verdana" w:eastAsia="Times New Roman" w:hAnsi="Verdana" w:cs="Times New Roman"/>
          <w:color w:val="222222"/>
          <w:lang w:eastAsia="es-CO"/>
        </w:rPr>
        <w:t> Estos acuerdos permiten que las cooperativas locales participen en planes intersectoriales de salud, educación y generación de ingresos dirigidos a población vulnerable y víctimas de la violencia.</w:t>
      </w:r>
    </w:p>
    <w:p w14:paraId="785194F5" w14:textId="77777777" w:rsidR="002E190F" w:rsidRPr="002E190F" w:rsidRDefault="002E190F" w:rsidP="002E190F">
      <w:pPr>
        <w:shd w:val="clear" w:color="auto" w:fill="FFFFFF"/>
        <w:spacing w:before="100" w:beforeAutospacing="1" w:after="100" w:afterAutospacing="1" w:line="240" w:lineRule="auto"/>
        <w:jc w:val="both"/>
        <w:outlineLvl w:val="2"/>
        <w:rPr>
          <w:rFonts w:ascii="Verdana" w:eastAsia="Times New Roman" w:hAnsi="Verdana" w:cs="Times New Roman"/>
          <w:b/>
          <w:bCs/>
          <w:color w:val="222222"/>
          <w:lang w:eastAsia="es-CO"/>
        </w:rPr>
      </w:pPr>
      <w:r w:rsidRPr="002E190F">
        <w:rPr>
          <w:rFonts w:ascii="Verdana" w:eastAsia="Times New Roman" w:hAnsi="Verdana" w:cs="Times New Roman"/>
          <w:b/>
          <w:bCs/>
          <w:color w:val="222222"/>
          <w:lang w:eastAsia="es-CO"/>
        </w:rPr>
        <w:t>5. Reparación Integral a Víctimas (Ley 2421 de 2024)</w:t>
      </w:r>
    </w:p>
    <w:p w14:paraId="6CCC761C" w14:textId="77777777" w:rsidR="002E190F" w:rsidRPr="002E190F" w:rsidRDefault="002E190F" w:rsidP="002E190F">
      <w:p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color w:val="222222"/>
          <w:lang w:eastAsia="es-CO"/>
        </w:rPr>
        <w:t>Esta normativa, que modifica la Ley de Víctimas, prioriza a los sujetos de </w:t>
      </w:r>
      <w:r w:rsidRPr="002E190F">
        <w:rPr>
          <w:rFonts w:ascii="Verdana" w:eastAsia="Times New Roman" w:hAnsi="Verdana" w:cs="Times New Roman"/>
          <w:b/>
          <w:bCs/>
          <w:color w:val="222222"/>
          <w:lang w:eastAsia="es-CO"/>
        </w:rPr>
        <w:t>Reparación Colectiva</w:t>
      </w:r>
      <w:r w:rsidRPr="002E190F">
        <w:rPr>
          <w:rFonts w:ascii="Verdana" w:eastAsia="Times New Roman" w:hAnsi="Verdana" w:cs="Times New Roman"/>
          <w:color w:val="222222"/>
          <w:lang w:eastAsia="es-CO"/>
        </w:rPr>
        <w:t>.</w:t>
      </w:r>
    </w:p>
    <w:p w14:paraId="1AA147B0" w14:textId="0BE91C7D" w:rsidR="00E53A04" w:rsidRDefault="002E190F" w:rsidP="00E53A04">
      <w:pPr>
        <w:pStyle w:val="Prrafodelista"/>
        <w:numPr>
          <w:ilvl w:val="0"/>
          <w:numId w:val="42"/>
        </w:numPr>
        <w:shd w:val="clear" w:color="auto" w:fill="FFFFFF"/>
        <w:spacing w:before="100" w:beforeAutospacing="1" w:after="100" w:afterAutospacing="1" w:line="240" w:lineRule="auto"/>
        <w:jc w:val="both"/>
        <w:rPr>
          <w:rFonts w:ascii="Verdana" w:eastAsia="Times New Roman" w:hAnsi="Verdana" w:cs="Times New Roman"/>
          <w:color w:val="222222"/>
          <w:lang w:eastAsia="es-CO"/>
        </w:rPr>
      </w:pPr>
      <w:r w:rsidRPr="002E190F">
        <w:rPr>
          <w:rFonts w:ascii="Verdana" w:eastAsia="Times New Roman" w:hAnsi="Verdana" w:cs="Times New Roman"/>
          <w:b/>
          <w:bCs/>
          <w:color w:val="222222"/>
          <w:lang w:eastAsia="es-CO"/>
        </w:rPr>
        <w:t>Sujetos Colectivos:</w:t>
      </w:r>
      <w:r w:rsidRPr="002E190F">
        <w:rPr>
          <w:rFonts w:ascii="Verdana" w:eastAsia="Times New Roman" w:hAnsi="Verdana" w:cs="Times New Roman"/>
          <w:color w:val="222222"/>
          <w:lang w:eastAsia="es-CO"/>
        </w:rPr>
        <w:t> Se fortalecen las formas asociativas y cooperativas creadas por víctimas, facilitando su acceso a programas de generación de ingresos y asistencia técnica coordinada por el DPS y la Unidad para las Víctimas.</w:t>
      </w:r>
    </w:p>
    <w:p w14:paraId="08F68DB4" w14:textId="77777777" w:rsidR="00A86758" w:rsidRPr="00A86758" w:rsidRDefault="00A86758" w:rsidP="00A86758">
      <w:pPr>
        <w:pStyle w:val="Prrafodelista"/>
        <w:shd w:val="clear" w:color="auto" w:fill="FFFFFF"/>
        <w:spacing w:before="100" w:beforeAutospacing="1" w:after="100" w:afterAutospacing="1" w:line="240" w:lineRule="auto"/>
        <w:jc w:val="both"/>
        <w:rPr>
          <w:rFonts w:ascii="Verdana" w:eastAsia="Times New Roman" w:hAnsi="Verdana" w:cs="Times New Roman"/>
          <w:color w:val="222222"/>
          <w:lang w:eastAsia="es-CO"/>
        </w:rPr>
      </w:pPr>
    </w:p>
    <w:p w14:paraId="3AA1136B" w14:textId="77777777" w:rsidR="002F2DB3" w:rsidRPr="002E190F" w:rsidRDefault="00E53A04" w:rsidP="00F920C6">
      <w:pPr>
        <w:pStyle w:val="Prrafodelista"/>
        <w:numPr>
          <w:ilvl w:val="0"/>
          <w:numId w:val="30"/>
        </w:numPr>
        <w:spacing w:line="256" w:lineRule="auto"/>
        <w:jc w:val="both"/>
        <w:rPr>
          <w:b/>
          <w:bCs/>
        </w:rPr>
      </w:pPr>
      <w:r w:rsidRPr="002E190F">
        <w:rPr>
          <w:rFonts w:ascii="Verdana" w:hAnsi="Verdana"/>
          <w:b/>
          <w:bCs/>
        </w:rPr>
        <w:t xml:space="preserve">¿Necesito saber qué alertas tiene la cooperativa </w:t>
      </w:r>
      <w:proofErr w:type="spellStart"/>
      <w:r w:rsidRPr="002E190F">
        <w:rPr>
          <w:rFonts w:ascii="Verdana" w:hAnsi="Verdana"/>
          <w:b/>
          <w:bCs/>
        </w:rPr>
        <w:t>Cadisan</w:t>
      </w:r>
      <w:proofErr w:type="spellEnd"/>
      <w:r w:rsidRPr="002E190F">
        <w:rPr>
          <w:rFonts w:ascii="Verdana" w:hAnsi="Verdana"/>
          <w:b/>
          <w:bCs/>
        </w:rPr>
        <w:t xml:space="preserve"> y como se encuentra financieramente? </w:t>
      </w:r>
    </w:p>
    <w:p w14:paraId="7A3A946C" w14:textId="6BC24DC6" w:rsidR="005F66C5" w:rsidRPr="00275F3A" w:rsidRDefault="00365F04" w:rsidP="00275F3A">
      <w:pPr>
        <w:spacing w:line="256" w:lineRule="auto"/>
        <w:jc w:val="both"/>
        <w:rPr>
          <w:rFonts w:ascii="Verdana" w:hAnsi="Verdana"/>
        </w:rPr>
      </w:pPr>
      <w:r w:rsidRPr="00275F3A">
        <w:rPr>
          <w:rFonts w:ascii="Verdana" w:hAnsi="Verdana"/>
        </w:rPr>
        <w:t>Es importante aclarar que la organización 'CADISAN', mencionada en su consulta, no se encuentra registrada dentro de las 175 Cooperativas de</w:t>
      </w:r>
      <w:r w:rsidR="00275F3A" w:rsidRPr="00275F3A">
        <w:rPr>
          <w:rFonts w:ascii="Verdana" w:hAnsi="Verdana"/>
        </w:rPr>
        <w:t xml:space="preserve"> </w:t>
      </w:r>
      <w:r w:rsidRPr="00275F3A">
        <w:rPr>
          <w:rFonts w:ascii="Verdana" w:hAnsi="Verdana"/>
        </w:rPr>
        <w:t>Ahorro y Crédito sujetas a la vigilancia de la Delegatura para la Supervisión de la Actividad Financiera.</w:t>
      </w:r>
    </w:p>
    <w:sectPr w:rsidR="005F66C5" w:rsidRPr="00275F3A" w:rsidSect="009D7C3C">
      <w:headerReference w:type="default" r:id="rId14"/>
      <w:footerReference w:type="default" r:id="rId15"/>
      <w:headerReference w:type="first" r:id="rId16"/>
      <w:pgSz w:w="12240" w:h="15840"/>
      <w:pgMar w:top="2127" w:right="1440" w:bottom="2268"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A14E3" w14:textId="77777777" w:rsidR="006A70A9" w:rsidRDefault="006A70A9" w:rsidP="00543D23">
      <w:pPr>
        <w:spacing w:after="0" w:line="240" w:lineRule="auto"/>
      </w:pPr>
      <w:r>
        <w:separator/>
      </w:r>
    </w:p>
  </w:endnote>
  <w:endnote w:type="continuationSeparator" w:id="0">
    <w:p w14:paraId="67559270" w14:textId="77777777" w:rsidR="006A70A9" w:rsidRDefault="006A70A9" w:rsidP="0054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MT">
    <w:altName w:val="Arial"/>
    <w:charset w:val="01"/>
    <w:family w:val="swiss"/>
    <w:pitch w:val="variable"/>
  </w:font>
  <w:font w:name="Fredoka SemiBold">
    <w:altName w:val="Arial"/>
    <w:charset w:val="00"/>
    <w:family w:val="auto"/>
    <w:pitch w:val="variable"/>
    <w:sig w:usb0="8000086F" w:usb1="4000004A" w:usb2="00000000" w:usb3="00000000" w:csb0="00000021" w:csb1="00000000"/>
  </w:font>
  <w:font w:name="Fredoka">
    <w:altName w:val="Arial"/>
    <w:charset w:val="00"/>
    <w:family w:val="auto"/>
    <w:pitch w:val="variable"/>
    <w:sig w:usb0="8000086F" w:usb1="4000004A" w:usb2="00000000" w:usb3="00000000" w:csb0="0000002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2075495093"/>
      <w:docPartObj>
        <w:docPartGallery w:val="Page Numbers (Bottom of Page)"/>
        <w:docPartUnique/>
      </w:docPartObj>
    </w:sdtPr>
    <w:sdtEndPr/>
    <w:sdtContent>
      <w:sdt>
        <w:sdtPr>
          <w:rPr>
            <w:rFonts w:asciiTheme="majorHAnsi" w:eastAsiaTheme="majorEastAsia" w:hAnsiTheme="majorHAnsi" w:cstheme="majorBidi"/>
          </w:rPr>
          <w:id w:val="452978119"/>
        </w:sdtPr>
        <w:sdtEndPr/>
        <w:sdtContent>
          <w:p w14:paraId="6175CE05" w14:textId="1F0641DF" w:rsidR="00173F93" w:rsidRDefault="00173F93">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60288" behindDoc="0" locked="0" layoutInCell="1" allowOverlap="1" wp14:anchorId="0845B56F" wp14:editId="420FD527">
                      <wp:simplePos x="0" y="0"/>
                      <wp:positionH relativeFrom="margin">
                        <wp:posOffset>4596029</wp:posOffset>
                      </wp:positionH>
                      <wp:positionV relativeFrom="bottomMargin">
                        <wp:posOffset>524510</wp:posOffset>
                      </wp:positionV>
                      <wp:extent cx="626745" cy="626745"/>
                      <wp:effectExtent l="0" t="0" r="0" b="0"/>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noFill/>
                              <a:ln>
                                <a:noFill/>
                              </a:ln>
                            </wps:spPr>
                            <wps:txbx>
                              <w:txbxContent>
                                <w:p w14:paraId="754E251C" w14:textId="1697E03F" w:rsidR="00173F93" w:rsidRDefault="00173F93" w:rsidP="00B425CC">
                                  <w:pPr>
                                    <w:pStyle w:val="Piedepgina"/>
                                    <w:jc w:val="right"/>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A446BB" w:rsidRPr="00A446BB">
                                    <w:rPr>
                                      <w:b/>
                                      <w:bCs/>
                                      <w:noProof/>
                                      <w:color w:val="FFFFFF" w:themeColor="background1"/>
                                      <w:sz w:val="32"/>
                                      <w:szCs w:val="32"/>
                                      <w:lang w:val="es-ES"/>
                                    </w:rPr>
                                    <w:t>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45B56F" id="Elipse 39" o:spid="_x0000_s1026" style="position:absolute;margin-left:361.9pt;margin-top:41.3pt;width:49.35pt;height:49.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" filled="f" stroked="f">
                      <v:textbox>
                        <w:txbxContent>
                          <w:p w14:paraId="754E251C" w14:textId="1697E03F" w:rsidR="00173F93" w:rsidRDefault="00173F93" w:rsidP="00B425CC">
                            <w:pPr>
                              <w:pStyle w:val="Piedepgina"/>
                              <w:jc w:val="right"/>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A446BB" w:rsidRPr="00A446BB">
                              <w:rPr>
                                <w:b/>
                                <w:bCs/>
                                <w:noProof/>
                                <w:color w:val="FFFFFF" w:themeColor="background1"/>
                                <w:sz w:val="32"/>
                                <w:szCs w:val="32"/>
                                <w:lang w:val="es-ES"/>
                              </w:rPr>
                              <w:t>3</w:t>
                            </w:r>
                            <w:r>
                              <w:rPr>
                                <w:b/>
                                <w:bCs/>
                                <w:color w:val="FFFFFF" w:themeColor="background1"/>
                                <w:sz w:val="32"/>
                                <w:szCs w:val="32"/>
                              </w:rPr>
                              <w:fldChar w:fldCharType="end"/>
                            </w:r>
                          </w:p>
                        </w:txbxContent>
                      </v:textbox>
                      <w10:wrap anchorx="margin" anchory="margin"/>
                    </v:oval>
                  </w:pict>
                </mc:Fallback>
              </mc:AlternateContent>
            </w:r>
          </w:p>
        </w:sdtContent>
      </w:sdt>
    </w:sdtContent>
  </w:sdt>
  <w:p w14:paraId="608AC2D4" w14:textId="77777777" w:rsidR="00712398" w:rsidRPr="00712398" w:rsidRDefault="00712398" w:rsidP="00712398">
    <w:pPr>
      <w:pStyle w:val="Piedepgina"/>
      <w:jc w:val="cen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C31D6" w14:textId="77777777" w:rsidR="006A70A9" w:rsidRDefault="006A70A9" w:rsidP="00543D23">
      <w:pPr>
        <w:spacing w:after="0" w:line="240" w:lineRule="auto"/>
      </w:pPr>
      <w:r>
        <w:separator/>
      </w:r>
    </w:p>
  </w:footnote>
  <w:footnote w:type="continuationSeparator" w:id="0">
    <w:p w14:paraId="68CB982E" w14:textId="77777777" w:rsidR="006A70A9" w:rsidRDefault="006A70A9" w:rsidP="00543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05CF" w14:textId="7D7B2C28" w:rsidR="00712398" w:rsidRPr="00712398" w:rsidRDefault="003F6E16" w:rsidP="00543D23">
    <w:pPr>
      <w:pStyle w:val="Encabezado"/>
      <w:jc w:val="right"/>
      <w:rPr>
        <w:rFonts w:ascii="Verdana" w:hAnsi="Verdana"/>
        <w:color w:val="BFBFBF" w:themeColor="background1" w:themeShade="BF"/>
        <w:sz w:val="16"/>
        <w:szCs w:val="16"/>
      </w:rPr>
    </w:pPr>
    <w:r>
      <w:rPr>
        <w:rFonts w:ascii="Verdana" w:hAnsi="Verdana"/>
        <w:noProof/>
        <w:color w:val="BFBFBF" w:themeColor="background1" w:themeShade="BF"/>
        <w:sz w:val="16"/>
        <w:szCs w:val="16"/>
        <w:lang w:eastAsia="es-CO"/>
      </w:rPr>
      <w:drawing>
        <wp:anchor distT="0" distB="0" distL="114300" distR="114300" simplePos="0" relativeHeight="251658240" behindDoc="0" locked="0" layoutInCell="1" allowOverlap="1" wp14:anchorId="47158F56" wp14:editId="1CF1C649">
          <wp:simplePos x="0" y="0"/>
          <wp:positionH relativeFrom="column">
            <wp:posOffset>-902044</wp:posOffset>
          </wp:positionH>
          <wp:positionV relativeFrom="paragraph">
            <wp:posOffset>-450215</wp:posOffset>
          </wp:positionV>
          <wp:extent cx="7784757" cy="10074440"/>
          <wp:effectExtent l="0" t="0" r="6985"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_interior.jpg"/>
                  <pic:cNvPicPr/>
                </pic:nvPicPr>
                <pic:blipFill>
                  <a:blip r:embed="rId1">
                    <a:extLst>
                      <a:ext uri="{28A0092B-C50C-407E-A947-70E740481C1C}">
                        <a14:useLocalDpi xmlns:a14="http://schemas.microsoft.com/office/drawing/2010/main" val="0"/>
                      </a:ext>
                    </a:extLst>
                  </a:blip>
                  <a:stretch>
                    <a:fillRect/>
                  </a:stretch>
                </pic:blipFill>
                <pic:spPr>
                  <a:xfrm>
                    <a:off x="0" y="0"/>
                    <a:ext cx="7791899" cy="100836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2FFE" w14:textId="4B44433D" w:rsidR="00A446BB" w:rsidRDefault="00A446BB">
    <w:pPr>
      <w:pStyle w:val="Encabezado"/>
    </w:pPr>
    <w:r>
      <w:rPr>
        <w:noProof/>
        <w:lang w:eastAsia="es-CO"/>
      </w:rPr>
      <w:drawing>
        <wp:anchor distT="0" distB="0" distL="114300" distR="114300" simplePos="0" relativeHeight="251661312" behindDoc="1" locked="0" layoutInCell="1" allowOverlap="1" wp14:anchorId="25653178" wp14:editId="4534367B">
          <wp:simplePos x="0" y="0"/>
          <wp:positionH relativeFrom="column">
            <wp:posOffset>-914400</wp:posOffset>
          </wp:positionH>
          <wp:positionV relativeFrom="paragraph">
            <wp:posOffset>-450215</wp:posOffset>
          </wp:positionV>
          <wp:extent cx="7792872" cy="1008473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aportada_informe_RDC_20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0764" cy="100949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5FE3"/>
    <w:multiLevelType w:val="multilevel"/>
    <w:tmpl w:val="A160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D3F75"/>
    <w:multiLevelType w:val="multilevel"/>
    <w:tmpl w:val="64CC5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D38E9"/>
    <w:multiLevelType w:val="hybridMultilevel"/>
    <w:tmpl w:val="DF488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9E10AA"/>
    <w:multiLevelType w:val="hybridMultilevel"/>
    <w:tmpl w:val="050CF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7A0A20"/>
    <w:multiLevelType w:val="multilevel"/>
    <w:tmpl w:val="49F0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F1243C"/>
    <w:multiLevelType w:val="hybridMultilevel"/>
    <w:tmpl w:val="87CAFA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6D1FD3"/>
    <w:multiLevelType w:val="multilevel"/>
    <w:tmpl w:val="40544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D90D0E"/>
    <w:multiLevelType w:val="hybridMultilevel"/>
    <w:tmpl w:val="16368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0E5A0F"/>
    <w:multiLevelType w:val="multilevel"/>
    <w:tmpl w:val="372A8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5B2733"/>
    <w:multiLevelType w:val="hybridMultilevel"/>
    <w:tmpl w:val="FE48D7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F5A02DB"/>
    <w:multiLevelType w:val="multilevel"/>
    <w:tmpl w:val="7F96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81AE0"/>
    <w:multiLevelType w:val="multilevel"/>
    <w:tmpl w:val="05C47576"/>
    <w:lvl w:ilvl="0">
      <w:start w:val="1"/>
      <w:numFmt w:val="bullet"/>
      <w:pStyle w:val="TITULOPREGUNTAS"/>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3E5376"/>
    <w:multiLevelType w:val="hybridMultilevel"/>
    <w:tmpl w:val="7CFC61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2816B30"/>
    <w:multiLevelType w:val="hybridMultilevel"/>
    <w:tmpl w:val="998C3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2D50429"/>
    <w:multiLevelType w:val="multilevel"/>
    <w:tmpl w:val="71702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1A4F41"/>
    <w:multiLevelType w:val="hybridMultilevel"/>
    <w:tmpl w:val="8EC6E5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2472615E"/>
    <w:multiLevelType w:val="multilevel"/>
    <w:tmpl w:val="439E9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3A4A77"/>
    <w:multiLevelType w:val="hybridMultilevel"/>
    <w:tmpl w:val="0386A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75B0204"/>
    <w:multiLevelType w:val="hybridMultilevel"/>
    <w:tmpl w:val="2C0414AE"/>
    <w:lvl w:ilvl="0" w:tplc="90741708">
      <w:start w:val="1"/>
      <w:numFmt w:val="decimal"/>
      <w:lvlText w:val="%1."/>
      <w:lvlJc w:val="left"/>
      <w:pPr>
        <w:ind w:left="1170" w:hanging="45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2F994D52"/>
    <w:multiLevelType w:val="hybridMultilevel"/>
    <w:tmpl w:val="19E485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2D13E67"/>
    <w:multiLevelType w:val="hybridMultilevel"/>
    <w:tmpl w:val="04FA2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BF152D"/>
    <w:multiLevelType w:val="multilevel"/>
    <w:tmpl w:val="3FA4D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46C5F"/>
    <w:multiLevelType w:val="hybridMultilevel"/>
    <w:tmpl w:val="40E87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FE14F8"/>
    <w:multiLevelType w:val="multilevel"/>
    <w:tmpl w:val="E5989E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CA1B8E"/>
    <w:multiLevelType w:val="hybridMultilevel"/>
    <w:tmpl w:val="A426B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B13516"/>
    <w:multiLevelType w:val="multilevel"/>
    <w:tmpl w:val="7C88C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2D4AC8"/>
    <w:multiLevelType w:val="hybridMultilevel"/>
    <w:tmpl w:val="0B146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1C1E92"/>
    <w:multiLevelType w:val="hybridMultilevel"/>
    <w:tmpl w:val="FB742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BF6BC2"/>
    <w:multiLevelType w:val="multilevel"/>
    <w:tmpl w:val="2D928D7E"/>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E77760F"/>
    <w:multiLevelType w:val="multilevel"/>
    <w:tmpl w:val="BE14B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AE5F1A"/>
    <w:multiLevelType w:val="hybridMultilevel"/>
    <w:tmpl w:val="D2628996"/>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9E038FA"/>
    <w:multiLevelType w:val="hybridMultilevel"/>
    <w:tmpl w:val="361AE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1E357C"/>
    <w:multiLevelType w:val="multilevel"/>
    <w:tmpl w:val="2D928D7E"/>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CE45AA6"/>
    <w:multiLevelType w:val="multilevel"/>
    <w:tmpl w:val="DB88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366A9F"/>
    <w:multiLevelType w:val="multilevel"/>
    <w:tmpl w:val="2D928D7E"/>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44F784B"/>
    <w:multiLevelType w:val="hybridMultilevel"/>
    <w:tmpl w:val="1A5C8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724754"/>
    <w:multiLevelType w:val="hybridMultilevel"/>
    <w:tmpl w:val="5016E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CB22C99"/>
    <w:multiLevelType w:val="hybridMultilevel"/>
    <w:tmpl w:val="31F04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ED04EF"/>
    <w:multiLevelType w:val="hybridMultilevel"/>
    <w:tmpl w:val="2E549F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6EB14984"/>
    <w:multiLevelType w:val="hybridMultilevel"/>
    <w:tmpl w:val="0FE41C5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0" w15:restartNumberingAfterBreak="0">
    <w:nsid w:val="70373705"/>
    <w:multiLevelType w:val="hybridMultilevel"/>
    <w:tmpl w:val="23802FF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737C2FBA"/>
    <w:multiLevelType w:val="multilevel"/>
    <w:tmpl w:val="2D928D7E"/>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4B76699"/>
    <w:multiLevelType w:val="hybridMultilevel"/>
    <w:tmpl w:val="5254F8B6"/>
    <w:lvl w:ilvl="0" w:tplc="6A36F1BC">
      <w:numFmt w:val="bullet"/>
      <w:lvlText w:val="-"/>
      <w:lvlJc w:val="left"/>
      <w:pPr>
        <w:ind w:left="720" w:hanging="360"/>
      </w:pPr>
      <w:rPr>
        <w:rFonts w:ascii="Verdana" w:eastAsiaTheme="minorHAnsi" w:hAnsi="Verdana"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6E86E6B"/>
    <w:multiLevelType w:val="multilevel"/>
    <w:tmpl w:val="2D928D7E"/>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7B1E0E53"/>
    <w:multiLevelType w:val="hybridMultilevel"/>
    <w:tmpl w:val="4CD01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EE60DB0"/>
    <w:multiLevelType w:val="hybridMultilevel"/>
    <w:tmpl w:val="70B2D5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FD7387B"/>
    <w:multiLevelType w:val="hybridMultilevel"/>
    <w:tmpl w:val="EA7AD1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3"/>
  </w:num>
  <w:num w:numId="3">
    <w:abstractNumId w:val="16"/>
  </w:num>
  <w:num w:numId="4">
    <w:abstractNumId w:val="35"/>
  </w:num>
  <w:num w:numId="5">
    <w:abstractNumId w:val="39"/>
  </w:num>
  <w:num w:numId="6">
    <w:abstractNumId w:val="42"/>
  </w:num>
  <w:num w:numId="7">
    <w:abstractNumId w:val="10"/>
  </w:num>
  <w:num w:numId="8">
    <w:abstractNumId w:val="24"/>
  </w:num>
  <w:num w:numId="9">
    <w:abstractNumId w:val="31"/>
  </w:num>
  <w:num w:numId="10">
    <w:abstractNumId w:val="22"/>
  </w:num>
  <w:num w:numId="11">
    <w:abstractNumId w:val="46"/>
  </w:num>
  <w:num w:numId="12">
    <w:abstractNumId w:val="14"/>
  </w:num>
  <w:num w:numId="13">
    <w:abstractNumId w:val="6"/>
  </w:num>
  <w:num w:numId="14">
    <w:abstractNumId w:val="29"/>
  </w:num>
  <w:num w:numId="15">
    <w:abstractNumId w:val="1"/>
  </w:num>
  <w:num w:numId="16">
    <w:abstractNumId w:val="33"/>
  </w:num>
  <w:num w:numId="17">
    <w:abstractNumId w:val="27"/>
  </w:num>
  <w:num w:numId="18">
    <w:abstractNumId w:val="43"/>
  </w:num>
  <w:num w:numId="19">
    <w:abstractNumId w:val="32"/>
  </w:num>
  <w:num w:numId="20">
    <w:abstractNumId w:val="25"/>
  </w:num>
  <w:num w:numId="21">
    <w:abstractNumId w:val="41"/>
  </w:num>
  <w:num w:numId="22">
    <w:abstractNumId w:val="34"/>
  </w:num>
  <w:num w:numId="23">
    <w:abstractNumId w:val="28"/>
  </w:num>
  <w:num w:numId="24">
    <w:abstractNumId w:val="45"/>
  </w:num>
  <w:num w:numId="25">
    <w:abstractNumId w:val="5"/>
  </w:num>
  <w:num w:numId="26">
    <w:abstractNumId w:val="7"/>
  </w:num>
  <w:num w:numId="27">
    <w:abstractNumId w:val="17"/>
  </w:num>
  <w:num w:numId="28">
    <w:abstractNumId w:val="3"/>
  </w:num>
  <w:num w:numId="29">
    <w:abstractNumId w:val="11"/>
  </w:num>
  <w:num w:numId="30">
    <w:abstractNumId w:val="38"/>
  </w:num>
  <w:num w:numId="31">
    <w:abstractNumId w:val="18"/>
  </w:num>
  <w:num w:numId="32">
    <w:abstractNumId w:val="9"/>
  </w:num>
  <w:num w:numId="33">
    <w:abstractNumId w:val="30"/>
  </w:num>
  <w:num w:numId="34">
    <w:abstractNumId w:val="40"/>
  </w:num>
  <w:num w:numId="35">
    <w:abstractNumId w:val="0"/>
  </w:num>
  <w:num w:numId="36">
    <w:abstractNumId w:val="4"/>
  </w:num>
  <w:num w:numId="37">
    <w:abstractNumId w:val="8"/>
  </w:num>
  <w:num w:numId="38">
    <w:abstractNumId w:val="12"/>
  </w:num>
  <w:num w:numId="39">
    <w:abstractNumId w:val="15"/>
  </w:num>
  <w:num w:numId="40">
    <w:abstractNumId w:val="26"/>
  </w:num>
  <w:num w:numId="41">
    <w:abstractNumId w:val="20"/>
  </w:num>
  <w:num w:numId="42">
    <w:abstractNumId w:val="44"/>
  </w:num>
  <w:num w:numId="43">
    <w:abstractNumId w:val="36"/>
  </w:num>
  <w:num w:numId="44">
    <w:abstractNumId w:val="23"/>
  </w:num>
  <w:num w:numId="45">
    <w:abstractNumId w:val="37"/>
  </w:num>
  <w:num w:numId="46">
    <w:abstractNumId w:val="2"/>
  </w:num>
  <w:num w:numId="4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24"/>
    <w:rsid w:val="00000269"/>
    <w:rsid w:val="00001C14"/>
    <w:rsid w:val="000046D5"/>
    <w:rsid w:val="000058BB"/>
    <w:rsid w:val="00006579"/>
    <w:rsid w:val="00007047"/>
    <w:rsid w:val="00012FEB"/>
    <w:rsid w:val="000134D0"/>
    <w:rsid w:val="000172F9"/>
    <w:rsid w:val="00017C1B"/>
    <w:rsid w:val="00017FD8"/>
    <w:rsid w:val="000209F5"/>
    <w:rsid w:val="00026952"/>
    <w:rsid w:val="00030869"/>
    <w:rsid w:val="0003125F"/>
    <w:rsid w:val="00031ED0"/>
    <w:rsid w:val="000355CA"/>
    <w:rsid w:val="00035711"/>
    <w:rsid w:val="00035AC9"/>
    <w:rsid w:val="00036749"/>
    <w:rsid w:val="00040BB1"/>
    <w:rsid w:val="00042A7F"/>
    <w:rsid w:val="00042CB3"/>
    <w:rsid w:val="0004324C"/>
    <w:rsid w:val="00043EE0"/>
    <w:rsid w:val="00052071"/>
    <w:rsid w:val="00054A96"/>
    <w:rsid w:val="00055982"/>
    <w:rsid w:val="00056D0C"/>
    <w:rsid w:val="00060CA1"/>
    <w:rsid w:val="000618E6"/>
    <w:rsid w:val="00066D75"/>
    <w:rsid w:val="00073C3F"/>
    <w:rsid w:val="000765AC"/>
    <w:rsid w:val="000778FF"/>
    <w:rsid w:val="00077AD8"/>
    <w:rsid w:val="000818D3"/>
    <w:rsid w:val="00082936"/>
    <w:rsid w:val="00084DF9"/>
    <w:rsid w:val="00086E94"/>
    <w:rsid w:val="00087FC2"/>
    <w:rsid w:val="00091452"/>
    <w:rsid w:val="000974C3"/>
    <w:rsid w:val="000A4B4F"/>
    <w:rsid w:val="000A6EEF"/>
    <w:rsid w:val="000B26E9"/>
    <w:rsid w:val="000B2BD2"/>
    <w:rsid w:val="000B481E"/>
    <w:rsid w:val="000B51D4"/>
    <w:rsid w:val="000B76C2"/>
    <w:rsid w:val="000B7C73"/>
    <w:rsid w:val="000C067F"/>
    <w:rsid w:val="000C2002"/>
    <w:rsid w:val="000C24EC"/>
    <w:rsid w:val="000C2921"/>
    <w:rsid w:val="000C2DAF"/>
    <w:rsid w:val="000C4339"/>
    <w:rsid w:val="000C6043"/>
    <w:rsid w:val="000C63D0"/>
    <w:rsid w:val="000C760E"/>
    <w:rsid w:val="000C796B"/>
    <w:rsid w:val="000C7E4E"/>
    <w:rsid w:val="000D006C"/>
    <w:rsid w:val="000D3B7C"/>
    <w:rsid w:val="000D59E2"/>
    <w:rsid w:val="000D6462"/>
    <w:rsid w:val="000D74D4"/>
    <w:rsid w:val="000E0BAF"/>
    <w:rsid w:val="000E59A3"/>
    <w:rsid w:val="000E771B"/>
    <w:rsid w:val="000F5FED"/>
    <w:rsid w:val="000F6E70"/>
    <w:rsid w:val="001007C4"/>
    <w:rsid w:val="00110596"/>
    <w:rsid w:val="0011096C"/>
    <w:rsid w:val="00111D20"/>
    <w:rsid w:val="00112A99"/>
    <w:rsid w:val="001152AE"/>
    <w:rsid w:val="00121763"/>
    <w:rsid w:val="00123833"/>
    <w:rsid w:val="00123FB2"/>
    <w:rsid w:val="00131E53"/>
    <w:rsid w:val="001353A6"/>
    <w:rsid w:val="001372F1"/>
    <w:rsid w:val="0013799D"/>
    <w:rsid w:val="00142BD1"/>
    <w:rsid w:val="001438FA"/>
    <w:rsid w:val="00147122"/>
    <w:rsid w:val="00157393"/>
    <w:rsid w:val="00160626"/>
    <w:rsid w:val="00160752"/>
    <w:rsid w:val="00161331"/>
    <w:rsid w:val="001617F6"/>
    <w:rsid w:val="00163617"/>
    <w:rsid w:val="00164204"/>
    <w:rsid w:val="001650A8"/>
    <w:rsid w:val="00172539"/>
    <w:rsid w:val="00173F93"/>
    <w:rsid w:val="00174C10"/>
    <w:rsid w:val="0017603C"/>
    <w:rsid w:val="00176E41"/>
    <w:rsid w:val="0018260A"/>
    <w:rsid w:val="001900B9"/>
    <w:rsid w:val="00190D17"/>
    <w:rsid w:val="00192175"/>
    <w:rsid w:val="001A1335"/>
    <w:rsid w:val="001A1DE9"/>
    <w:rsid w:val="001A2D02"/>
    <w:rsid w:val="001A7E05"/>
    <w:rsid w:val="001B4BFA"/>
    <w:rsid w:val="001B725E"/>
    <w:rsid w:val="001C03E9"/>
    <w:rsid w:val="001C5048"/>
    <w:rsid w:val="001C55B2"/>
    <w:rsid w:val="001C7785"/>
    <w:rsid w:val="001C7E35"/>
    <w:rsid w:val="001D0A7E"/>
    <w:rsid w:val="001D1E8C"/>
    <w:rsid w:val="001D4905"/>
    <w:rsid w:val="001D6206"/>
    <w:rsid w:val="001D6E00"/>
    <w:rsid w:val="001D7363"/>
    <w:rsid w:val="001E59DC"/>
    <w:rsid w:val="001E5DF1"/>
    <w:rsid w:val="001E64FA"/>
    <w:rsid w:val="001E651D"/>
    <w:rsid w:val="001F06B8"/>
    <w:rsid w:val="001F466D"/>
    <w:rsid w:val="001F507F"/>
    <w:rsid w:val="001F509F"/>
    <w:rsid w:val="001F6E08"/>
    <w:rsid w:val="002004B1"/>
    <w:rsid w:val="00200DB5"/>
    <w:rsid w:val="0020689E"/>
    <w:rsid w:val="00206F1B"/>
    <w:rsid w:val="00207AC4"/>
    <w:rsid w:val="00211533"/>
    <w:rsid w:val="00212682"/>
    <w:rsid w:val="00216103"/>
    <w:rsid w:val="00217228"/>
    <w:rsid w:val="0022057E"/>
    <w:rsid w:val="0022149F"/>
    <w:rsid w:val="00221A3E"/>
    <w:rsid w:val="002269B6"/>
    <w:rsid w:val="0023086C"/>
    <w:rsid w:val="00230D27"/>
    <w:rsid w:val="0023345D"/>
    <w:rsid w:val="00235560"/>
    <w:rsid w:val="002369A7"/>
    <w:rsid w:val="00240515"/>
    <w:rsid w:val="002456E8"/>
    <w:rsid w:val="00246B61"/>
    <w:rsid w:val="00253EF6"/>
    <w:rsid w:val="002557BB"/>
    <w:rsid w:val="00255E6C"/>
    <w:rsid w:val="00256A6F"/>
    <w:rsid w:val="00256CB6"/>
    <w:rsid w:val="00261B4E"/>
    <w:rsid w:val="002629CA"/>
    <w:rsid w:val="0026380B"/>
    <w:rsid w:val="00263DA7"/>
    <w:rsid w:val="0026661E"/>
    <w:rsid w:val="00271706"/>
    <w:rsid w:val="0027308B"/>
    <w:rsid w:val="00275F3A"/>
    <w:rsid w:val="00284077"/>
    <w:rsid w:val="002859B7"/>
    <w:rsid w:val="00285CB6"/>
    <w:rsid w:val="002911C9"/>
    <w:rsid w:val="002913B0"/>
    <w:rsid w:val="00291E80"/>
    <w:rsid w:val="00292D80"/>
    <w:rsid w:val="00294586"/>
    <w:rsid w:val="002959A6"/>
    <w:rsid w:val="002979B1"/>
    <w:rsid w:val="00297D24"/>
    <w:rsid w:val="002A433E"/>
    <w:rsid w:val="002A48A7"/>
    <w:rsid w:val="002B5156"/>
    <w:rsid w:val="002B6715"/>
    <w:rsid w:val="002B6D2D"/>
    <w:rsid w:val="002C23B5"/>
    <w:rsid w:val="002C3618"/>
    <w:rsid w:val="002C593A"/>
    <w:rsid w:val="002C5F51"/>
    <w:rsid w:val="002C7AE2"/>
    <w:rsid w:val="002C7D68"/>
    <w:rsid w:val="002C7FA6"/>
    <w:rsid w:val="002D11BF"/>
    <w:rsid w:val="002D417A"/>
    <w:rsid w:val="002D6552"/>
    <w:rsid w:val="002E0AFB"/>
    <w:rsid w:val="002E0D08"/>
    <w:rsid w:val="002E184E"/>
    <w:rsid w:val="002E190F"/>
    <w:rsid w:val="002E4387"/>
    <w:rsid w:val="002E4BDD"/>
    <w:rsid w:val="002E51B6"/>
    <w:rsid w:val="002E5450"/>
    <w:rsid w:val="002E5AA0"/>
    <w:rsid w:val="002E764E"/>
    <w:rsid w:val="002F0D60"/>
    <w:rsid w:val="002F1464"/>
    <w:rsid w:val="002F2708"/>
    <w:rsid w:val="002F2DB3"/>
    <w:rsid w:val="002F3C32"/>
    <w:rsid w:val="00302203"/>
    <w:rsid w:val="00304E1A"/>
    <w:rsid w:val="003070C5"/>
    <w:rsid w:val="003115C0"/>
    <w:rsid w:val="00311AAA"/>
    <w:rsid w:val="003126B6"/>
    <w:rsid w:val="00313E4C"/>
    <w:rsid w:val="0031427B"/>
    <w:rsid w:val="003149D0"/>
    <w:rsid w:val="00314DB2"/>
    <w:rsid w:val="00316E41"/>
    <w:rsid w:val="00324135"/>
    <w:rsid w:val="003302DF"/>
    <w:rsid w:val="00331EBF"/>
    <w:rsid w:val="003353C5"/>
    <w:rsid w:val="0033592D"/>
    <w:rsid w:val="00335957"/>
    <w:rsid w:val="00335C64"/>
    <w:rsid w:val="00335DFF"/>
    <w:rsid w:val="003415C6"/>
    <w:rsid w:val="00341A1B"/>
    <w:rsid w:val="003428B0"/>
    <w:rsid w:val="00345B8B"/>
    <w:rsid w:val="00346BFB"/>
    <w:rsid w:val="00347303"/>
    <w:rsid w:val="00351127"/>
    <w:rsid w:val="00351FE3"/>
    <w:rsid w:val="00352A7A"/>
    <w:rsid w:val="00353C95"/>
    <w:rsid w:val="003561BA"/>
    <w:rsid w:val="0035786E"/>
    <w:rsid w:val="00357AE4"/>
    <w:rsid w:val="00357CC5"/>
    <w:rsid w:val="00363697"/>
    <w:rsid w:val="00364A5B"/>
    <w:rsid w:val="00365F04"/>
    <w:rsid w:val="003675DF"/>
    <w:rsid w:val="00372369"/>
    <w:rsid w:val="00374D7A"/>
    <w:rsid w:val="00375F48"/>
    <w:rsid w:val="0037647B"/>
    <w:rsid w:val="00377E13"/>
    <w:rsid w:val="00381DD8"/>
    <w:rsid w:val="00382669"/>
    <w:rsid w:val="00385D42"/>
    <w:rsid w:val="00391724"/>
    <w:rsid w:val="00392364"/>
    <w:rsid w:val="00392583"/>
    <w:rsid w:val="003931BC"/>
    <w:rsid w:val="00395EE0"/>
    <w:rsid w:val="0039645C"/>
    <w:rsid w:val="00397AAD"/>
    <w:rsid w:val="003A0A0F"/>
    <w:rsid w:val="003A505A"/>
    <w:rsid w:val="003A6C38"/>
    <w:rsid w:val="003B1973"/>
    <w:rsid w:val="003B2FC7"/>
    <w:rsid w:val="003C01F3"/>
    <w:rsid w:val="003C6215"/>
    <w:rsid w:val="003D29FF"/>
    <w:rsid w:val="003D2F34"/>
    <w:rsid w:val="003D5299"/>
    <w:rsid w:val="003D7D09"/>
    <w:rsid w:val="003E65ED"/>
    <w:rsid w:val="003E7A69"/>
    <w:rsid w:val="003F02FF"/>
    <w:rsid w:val="003F03D1"/>
    <w:rsid w:val="003F2CE9"/>
    <w:rsid w:val="003F46E2"/>
    <w:rsid w:val="003F520A"/>
    <w:rsid w:val="003F59EB"/>
    <w:rsid w:val="003F6E16"/>
    <w:rsid w:val="003F71ED"/>
    <w:rsid w:val="004019E9"/>
    <w:rsid w:val="00402996"/>
    <w:rsid w:val="00403CB8"/>
    <w:rsid w:val="004110A2"/>
    <w:rsid w:val="0041288B"/>
    <w:rsid w:val="00415146"/>
    <w:rsid w:val="00421E90"/>
    <w:rsid w:val="00424589"/>
    <w:rsid w:val="00431DBA"/>
    <w:rsid w:val="0043405C"/>
    <w:rsid w:val="004352C4"/>
    <w:rsid w:val="0043598A"/>
    <w:rsid w:val="00435A07"/>
    <w:rsid w:val="00435A4A"/>
    <w:rsid w:val="0044040C"/>
    <w:rsid w:val="004414ED"/>
    <w:rsid w:val="00441DD2"/>
    <w:rsid w:val="004437A8"/>
    <w:rsid w:val="0044476C"/>
    <w:rsid w:val="00445C1B"/>
    <w:rsid w:val="00446A1B"/>
    <w:rsid w:val="0045069C"/>
    <w:rsid w:val="00454771"/>
    <w:rsid w:val="004653DE"/>
    <w:rsid w:val="00465929"/>
    <w:rsid w:val="00467CF6"/>
    <w:rsid w:val="00474288"/>
    <w:rsid w:val="00480612"/>
    <w:rsid w:val="00483682"/>
    <w:rsid w:val="004863DB"/>
    <w:rsid w:val="00486AA4"/>
    <w:rsid w:val="00486C08"/>
    <w:rsid w:val="00487BA1"/>
    <w:rsid w:val="004936D8"/>
    <w:rsid w:val="00493A02"/>
    <w:rsid w:val="004953DD"/>
    <w:rsid w:val="004963B8"/>
    <w:rsid w:val="00497F21"/>
    <w:rsid w:val="004A552B"/>
    <w:rsid w:val="004B000F"/>
    <w:rsid w:val="004B0875"/>
    <w:rsid w:val="004B1FE1"/>
    <w:rsid w:val="004B4475"/>
    <w:rsid w:val="004C03FF"/>
    <w:rsid w:val="004C09FE"/>
    <w:rsid w:val="004C4C24"/>
    <w:rsid w:val="004C5AE6"/>
    <w:rsid w:val="004D23DB"/>
    <w:rsid w:val="004E1C7C"/>
    <w:rsid w:val="004E1CF2"/>
    <w:rsid w:val="004E34F6"/>
    <w:rsid w:val="004E36BF"/>
    <w:rsid w:val="004E4575"/>
    <w:rsid w:val="004F44FA"/>
    <w:rsid w:val="00500244"/>
    <w:rsid w:val="005021F2"/>
    <w:rsid w:val="00504721"/>
    <w:rsid w:val="00506C18"/>
    <w:rsid w:val="00512E20"/>
    <w:rsid w:val="00516210"/>
    <w:rsid w:val="0051633B"/>
    <w:rsid w:val="00520E44"/>
    <w:rsid w:val="00523B97"/>
    <w:rsid w:val="005261FF"/>
    <w:rsid w:val="005262F0"/>
    <w:rsid w:val="00526A07"/>
    <w:rsid w:val="00526FB0"/>
    <w:rsid w:val="00534005"/>
    <w:rsid w:val="00535229"/>
    <w:rsid w:val="0054178A"/>
    <w:rsid w:val="00542326"/>
    <w:rsid w:val="00543779"/>
    <w:rsid w:val="00543B72"/>
    <w:rsid w:val="00543D23"/>
    <w:rsid w:val="00545C56"/>
    <w:rsid w:val="00547272"/>
    <w:rsid w:val="005507C8"/>
    <w:rsid w:val="00553F14"/>
    <w:rsid w:val="0055633E"/>
    <w:rsid w:val="00556EDD"/>
    <w:rsid w:val="00557CC1"/>
    <w:rsid w:val="00560E08"/>
    <w:rsid w:val="00563091"/>
    <w:rsid w:val="00563977"/>
    <w:rsid w:val="00564AA3"/>
    <w:rsid w:val="005656DE"/>
    <w:rsid w:val="00570539"/>
    <w:rsid w:val="0057321F"/>
    <w:rsid w:val="00576BC5"/>
    <w:rsid w:val="00577FE1"/>
    <w:rsid w:val="005813D1"/>
    <w:rsid w:val="005822AF"/>
    <w:rsid w:val="00582C85"/>
    <w:rsid w:val="005833A1"/>
    <w:rsid w:val="005914F1"/>
    <w:rsid w:val="005915AE"/>
    <w:rsid w:val="00593D9D"/>
    <w:rsid w:val="0059636C"/>
    <w:rsid w:val="005978D7"/>
    <w:rsid w:val="005A08EF"/>
    <w:rsid w:val="005A15E0"/>
    <w:rsid w:val="005A295E"/>
    <w:rsid w:val="005A4F3A"/>
    <w:rsid w:val="005A583F"/>
    <w:rsid w:val="005A5DF2"/>
    <w:rsid w:val="005A6A72"/>
    <w:rsid w:val="005B01A5"/>
    <w:rsid w:val="005B0A39"/>
    <w:rsid w:val="005B21C1"/>
    <w:rsid w:val="005B2BD7"/>
    <w:rsid w:val="005B32E9"/>
    <w:rsid w:val="005B3F25"/>
    <w:rsid w:val="005B525D"/>
    <w:rsid w:val="005C60D6"/>
    <w:rsid w:val="005D1512"/>
    <w:rsid w:val="005D2036"/>
    <w:rsid w:val="005D3B1E"/>
    <w:rsid w:val="005D5273"/>
    <w:rsid w:val="005D728B"/>
    <w:rsid w:val="005D7CC9"/>
    <w:rsid w:val="005E1346"/>
    <w:rsid w:val="005E4CF6"/>
    <w:rsid w:val="005E57C2"/>
    <w:rsid w:val="005E5DA9"/>
    <w:rsid w:val="005F3327"/>
    <w:rsid w:val="005F405A"/>
    <w:rsid w:val="005F4625"/>
    <w:rsid w:val="005F62AC"/>
    <w:rsid w:val="005F66C5"/>
    <w:rsid w:val="005F6B1F"/>
    <w:rsid w:val="00602A70"/>
    <w:rsid w:val="0060569E"/>
    <w:rsid w:val="006063A3"/>
    <w:rsid w:val="00606C10"/>
    <w:rsid w:val="00612500"/>
    <w:rsid w:val="00615AC6"/>
    <w:rsid w:val="00615AE6"/>
    <w:rsid w:val="00621C19"/>
    <w:rsid w:val="00627D4C"/>
    <w:rsid w:val="006307A0"/>
    <w:rsid w:val="00630F4E"/>
    <w:rsid w:val="00632624"/>
    <w:rsid w:val="00633026"/>
    <w:rsid w:val="0063396C"/>
    <w:rsid w:val="00635FAE"/>
    <w:rsid w:val="00640768"/>
    <w:rsid w:val="00640E11"/>
    <w:rsid w:val="00642654"/>
    <w:rsid w:val="0064313E"/>
    <w:rsid w:val="00643D29"/>
    <w:rsid w:val="00643F3D"/>
    <w:rsid w:val="006454B4"/>
    <w:rsid w:val="006564BA"/>
    <w:rsid w:val="0065749B"/>
    <w:rsid w:val="00664E6C"/>
    <w:rsid w:val="006663D7"/>
    <w:rsid w:val="00666762"/>
    <w:rsid w:val="00667F5A"/>
    <w:rsid w:val="00675A0E"/>
    <w:rsid w:val="00676DFE"/>
    <w:rsid w:val="00682315"/>
    <w:rsid w:val="0068320A"/>
    <w:rsid w:val="0068440A"/>
    <w:rsid w:val="00692F4C"/>
    <w:rsid w:val="0069331C"/>
    <w:rsid w:val="006945C0"/>
    <w:rsid w:val="00696324"/>
    <w:rsid w:val="0069775D"/>
    <w:rsid w:val="006A158A"/>
    <w:rsid w:val="006A21E7"/>
    <w:rsid w:val="006A32D7"/>
    <w:rsid w:val="006A3FA8"/>
    <w:rsid w:val="006A511D"/>
    <w:rsid w:val="006A51DB"/>
    <w:rsid w:val="006A70A9"/>
    <w:rsid w:val="006B17B2"/>
    <w:rsid w:val="006B210C"/>
    <w:rsid w:val="006B267E"/>
    <w:rsid w:val="006B4EE0"/>
    <w:rsid w:val="006B5289"/>
    <w:rsid w:val="006B6A63"/>
    <w:rsid w:val="006B6F2D"/>
    <w:rsid w:val="006D1D88"/>
    <w:rsid w:val="006D208F"/>
    <w:rsid w:val="006D51B9"/>
    <w:rsid w:val="006D51E8"/>
    <w:rsid w:val="006D59B2"/>
    <w:rsid w:val="006D621C"/>
    <w:rsid w:val="006E043D"/>
    <w:rsid w:val="006E3DC9"/>
    <w:rsid w:val="006E5AF5"/>
    <w:rsid w:val="006E6D90"/>
    <w:rsid w:val="006F21DC"/>
    <w:rsid w:val="006F79C3"/>
    <w:rsid w:val="007020D3"/>
    <w:rsid w:val="00712398"/>
    <w:rsid w:val="00713020"/>
    <w:rsid w:val="0071506E"/>
    <w:rsid w:val="00715944"/>
    <w:rsid w:val="00716406"/>
    <w:rsid w:val="00720820"/>
    <w:rsid w:val="00720F68"/>
    <w:rsid w:val="007216AA"/>
    <w:rsid w:val="00722E3C"/>
    <w:rsid w:val="007244B6"/>
    <w:rsid w:val="00727A38"/>
    <w:rsid w:val="007318A3"/>
    <w:rsid w:val="00732BCC"/>
    <w:rsid w:val="00733AF5"/>
    <w:rsid w:val="00735D17"/>
    <w:rsid w:val="00737E4E"/>
    <w:rsid w:val="0074150F"/>
    <w:rsid w:val="007423A4"/>
    <w:rsid w:val="00742544"/>
    <w:rsid w:val="00743057"/>
    <w:rsid w:val="007444AF"/>
    <w:rsid w:val="0074675F"/>
    <w:rsid w:val="007506FB"/>
    <w:rsid w:val="00750A6D"/>
    <w:rsid w:val="00752079"/>
    <w:rsid w:val="00753619"/>
    <w:rsid w:val="0075423D"/>
    <w:rsid w:val="007550F1"/>
    <w:rsid w:val="007559B9"/>
    <w:rsid w:val="00756E2A"/>
    <w:rsid w:val="00760B48"/>
    <w:rsid w:val="0076549F"/>
    <w:rsid w:val="007656F7"/>
    <w:rsid w:val="007670F3"/>
    <w:rsid w:val="0077042B"/>
    <w:rsid w:val="007717DC"/>
    <w:rsid w:val="00772308"/>
    <w:rsid w:val="00772C05"/>
    <w:rsid w:val="007754E7"/>
    <w:rsid w:val="00780700"/>
    <w:rsid w:val="007812BF"/>
    <w:rsid w:val="007816A3"/>
    <w:rsid w:val="0078287B"/>
    <w:rsid w:val="00786A2B"/>
    <w:rsid w:val="00790851"/>
    <w:rsid w:val="00791B19"/>
    <w:rsid w:val="00791FCB"/>
    <w:rsid w:val="00795836"/>
    <w:rsid w:val="007972C4"/>
    <w:rsid w:val="007A5D23"/>
    <w:rsid w:val="007A753A"/>
    <w:rsid w:val="007B05E7"/>
    <w:rsid w:val="007B083E"/>
    <w:rsid w:val="007B108C"/>
    <w:rsid w:val="007B5AB6"/>
    <w:rsid w:val="007B5EE1"/>
    <w:rsid w:val="007B6841"/>
    <w:rsid w:val="007B7EBA"/>
    <w:rsid w:val="007C112F"/>
    <w:rsid w:val="007C540F"/>
    <w:rsid w:val="007C6424"/>
    <w:rsid w:val="007D3812"/>
    <w:rsid w:val="007D7544"/>
    <w:rsid w:val="007E10D5"/>
    <w:rsid w:val="007E37DF"/>
    <w:rsid w:val="007E39BB"/>
    <w:rsid w:val="007E5D7B"/>
    <w:rsid w:val="007F0EE8"/>
    <w:rsid w:val="007F1907"/>
    <w:rsid w:val="007F29F6"/>
    <w:rsid w:val="007F3AA2"/>
    <w:rsid w:val="00800657"/>
    <w:rsid w:val="00800A31"/>
    <w:rsid w:val="00800D57"/>
    <w:rsid w:val="00801949"/>
    <w:rsid w:val="00802ACA"/>
    <w:rsid w:val="00804FD9"/>
    <w:rsid w:val="00804FF0"/>
    <w:rsid w:val="0080621E"/>
    <w:rsid w:val="008066B3"/>
    <w:rsid w:val="00811291"/>
    <w:rsid w:val="008117E2"/>
    <w:rsid w:val="0081225A"/>
    <w:rsid w:val="00812BE1"/>
    <w:rsid w:val="00812F50"/>
    <w:rsid w:val="00816382"/>
    <w:rsid w:val="00820B3F"/>
    <w:rsid w:val="00821A0C"/>
    <w:rsid w:val="008255D1"/>
    <w:rsid w:val="00827366"/>
    <w:rsid w:val="00832B62"/>
    <w:rsid w:val="008337D9"/>
    <w:rsid w:val="0083456F"/>
    <w:rsid w:val="008427B8"/>
    <w:rsid w:val="008503BB"/>
    <w:rsid w:val="00854087"/>
    <w:rsid w:val="008557CB"/>
    <w:rsid w:val="008559FD"/>
    <w:rsid w:val="00857FD6"/>
    <w:rsid w:val="0086048E"/>
    <w:rsid w:val="00861414"/>
    <w:rsid w:val="00863D5C"/>
    <w:rsid w:val="0086487F"/>
    <w:rsid w:val="00864A3E"/>
    <w:rsid w:val="00872F27"/>
    <w:rsid w:val="00873587"/>
    <w:rsid w:val="00873AB5"/>
    <w:rsid w:val="00874EF5"/>
    <w:rsid w:val="00875B07"/>
    <w:rsid w:val="0087638E"/>
    <w:rsid w:val="0087773F"/>
    <w:rsid w:val="00883BAE"/>
    <w:rsid w:val="00893D08"/>
    <w:rsid w:val="00896400"/>
    <w:rsid w:val="00896490"/>
    <w:rsid w:val="008A2F1E"/>
    <w:rsid w:val="008A4262"/>
    <w:rsid w:val="008B0617"/>
    <w:rsid w:val="008B2839"/>
    <w:rsid w:val="008B38C1"/>
    <w:rsid w:val="008B3EF7"/>
    <w:rsid w:val="008B4044"/>
    <w:rsid w:val="008B4C31"/>
    <w:rsid w:val="008C15CA"/>
    <w:rsid w:val="008C18EE"/>
    <w:rsid w:val="008C25E5"/>
    <w:rsid w:val="008C33BD"/>
    <w:rsid w:val="008C3D1B"/>
    <w:rsid w:val="008C5D25"/>
    <w:rsid w:val="008C67F2"/>
    <w:rsid w:val="008D0D01"/>
    <w:rsid w:val="008D135B"/>
    <w:rsid w:val="008D2E90"/>
    <w:rsid w:val="008D6848"/>
    <w:rsid w:val="008D7187"/>
    <w:rsid w:val="008D720E"/>
    <w:rsid w:val="008E1B61"/>
    <w:rsid w:val="008E1E8D"/>
    <w:rsid w:val="008E2F22"/>
    <w:rsid w:val="008E3702"/>
    <w:rsid w:val="008E6515"/>
    <w:rsid w:val="008E7234"/>
    <w:rsid w:val="008F2281"/>
    <w:rsid w:val="00900FEE"/>
    <w:rsid w:val="009019DF"/>
    <w:rsid w:val="009024BB"/>
    <w:rsid w:val="009053CF"/>
    <w:rsid w:val="009054AF"/>
    <w:rsid w:val="00907CD1"/>
    <w:rsid w:val="00907EEA"/>
    <w:rsid w:val="00910113"/>
    <w:rsid w:val="00910F96"/>
    <w:rsid w:val="009112F6"/>
    <w:rsid w:val="0091272D"/>
    <w:rsid w:val="00913CD3"/>
    <w:rsid w:val="00916A7D"/>
    <w:rsid w:val="00916BE6"/>
    <w:rsid w:val="009274A9"/>
    <w:rsid w:val="00927732"/>
    <w:rsid w:val="00927A69"/>
    <w:rsid w:val="00933BC8"/>
    <w:rsid w:val="009348EE"/>
    <w:rsid w:val="00935E2C"/>
    <w:rsid w:val="009447CE"/>
    <w:rsid w:val="00947458"/>
    <w:rsid w:val="0095164F"/>
    <w:rsid w:val="0095362A"/>
    <w:rsid w:val="009612D6"/>
    <w:rsid w:val="009615B8"/>
    <w:rsid w:val="00962A60"/>
    <w:rsid w:val="00964A84"/>
    <w:rsid w:val="009669FE"/>
    <w:rsid w:val="00982330"/>
    <w:rsid w:val="00982825"/>
    <w:rsid w:val="0099271D"/>
    <w:rsid w:val="009963D2"/>
    <w:rsid w:val="00997F91"/>
    <w:rsid w:val="009A150A"/>
    <w:rsid w:val="009A3D3A"/>
    <w:rsid w:val="009C1A42"/>
    <w:rsid w:val="009C311F"/>
    <w:rsid w:val="009C3D11"/>
    <w:rsid w:val="009C6619"/>
    <w:rsid w:val="009C6855"/>
    <w:rsid w:val="009C6CA4"/>
    <w:rsid w:val="009D0AC8"/>
    <w:rsid w:val="009D4354"/>
    <w:rsid w:val="009D51FA"/>
    <w:rsid w:val="009D54F5"/>
    <w:rsid w:val="009D78AE"/>
    <w:rsid w:val="009D7A32"/>
    <w:rsid w:val="009D7C3C"/>
    <w:rsid w:val="009D7E33"/>
    <w:rsid w:val="009E2F33"/>
    <w:rsid w:val="009E4E38"/>
    <w:rsid w:val="009E556B"/>
    <w:rsid w:val="009E594F"/>
    <w:rsid w:val="009E5CD3"/>
    <w:rsid w:val="009E6A21"/>
    <w:rsid w:val="009E7FB4"/>
    <w:rsid w:val="009F07D1"/>
    <w:rsid w:val="009F1E7E"/>
    <w:rsid w:val="009F2C99"/>
    <w:rsid w:val="009F3BF6"/>
    <w:rsid w:val="009F4588"/>
    <w:rsid w:val="009F56A8"/>
    <w:rsid w:val="009F5AF9"/>
    <w:rsid w:val="00A01B08"/>
    <w:rsid w:val="00A021B8"/>
    <w:rsid w:val="00A02F3D"/>
    <w:rsid w:val="00A043D5"/>
    <w:rsid w:val="00A10C36"/>
    <w:rsid w:val="00A14315"/>
    <w:rsid w:val="00A246DB"/>
    <w:rsid w:val="00A33DF3"/>
    <w:rsid w:val="00A347D7"/>
    <w:rsid w:val="00A36935"/>
    <w:rsid w:val="00A37A1A"/>
    <w:rsid w:val="00A414FA"/>
    <w:rsid w:val="00A41B83"/>
    <w:rsid w:val="00A42212"/>
    <w:rsid w:val="00A42ED2"/>
    <w:rsid w:val="00A4346F"/>
    <w:rsid w:val="00A446BB"/>
    <w:rsid w:val="00A471C0"/>
    <w:rsid w:val="00A501F4"/>
    <w:rsid w:val="00A51E5D"/>
    <w:rsid w:val="00A57E2E"/>
    <w:rsid w:val="00A61339"/>
    <w:rsid w:val="00A61EDE"/>
    <w:rsid w:val="00A62743"/>
    <w:rsid w:val="00A6659F"/>
    <w:rsid w:val="00A7111A"/>
    <w:rsid w:val="00A72262"/>
    <w:rsid w:val="00A73830"/>
    <w:rsid w:val="00A82521"/>
    <w:rsid w:val="00A86758"/>
    <w:rsid w:val="00A878F5"/>
    <w:rsid w:val="00A90545"/>
    <w:rsid w:val="00A9134C"/>
    <w:rsid w:val="00A914F2"/>
    <w:rsid w:val="00A9286F"/>
    <w:rsid w:val="00A96A55"/>
    <w:rsid w:val="00AA36D4"/>
    <w:rsid w:val="00AA38DA"/>
    <w:rsid w:val="00AA4F07"/>
    <w:rsid w:val="00AA54C9"/>
    <w:rsid w:val="00AA6A93"/>
    <w:rsid w:val="00AA7724"/>
    <w:rsid w:val="00AB244F"/>
    <w:rsid w:val="00AB4C11"/>
    <w:rsid w:val="00AB55CE"/>
    <w:rsid w:val="00AB5DB6"/>
    <w:rsid w:val="00AB75AD"/>
    <w:rsid w:val="00AB7881"/>
    <w:rsid w:val="00AC04AB"/>
    <w:rsid w:val="00AC3075"/>
    <w:rsid w:val="00AC4CB4"/>
    <w:rsid w:val="00AC5FEB"/>
    <w:rsid w:val="00AD1F21"/>
    <w:rsid w:val="00AD236A"/>
    <w:rsid w:val="00AD241A"/>
    <w:rsid w:val="00AD5545"/>
    <w:rsid w:val="00AE1199"/>
    <w:rsid w:val="00AE6C99"/>
    <w:rsid w:val="00AF00A9"/>
    <w:rsid w:val="00AF37F1"/>
    <w:rsid w:val="00AF48CA"/>
    <w:rsid w:val="00AF4BEB"/>
    <w:rsid w:val="00AF4EF7"/>
    <w:rsid w:val="00B05D20"/>
    <w:rsid w:val="00B068D8"/>
    <w:rsid w:val="00B10309"/>
    <w:rsid w:val="00B148DC"/>
    <w:rsid w:val="00B21C69"/>
    <w:rsid w:val="00B25C5C"/>
    <w:rsid w:val="00B26456"/>
    <w:rsid w:val="00B30777"/>
    <w:rsid w:val="00B30888"/>
    <w:rsid w:val="00B31476"/>
    <w:rsid w:val="00B31954"/>
    <w:rsid w:val="00B35787"/>
    <w:rsid w:val="00B3654A"/>
    <w:rsid w:val="00B36A58"/>
    <w:rsid w:val="00B36F47"/>
    <w:rsid w:val="00B37E25"/>
    <w:rsid w:val="00B40A0A"/>
    <w:rsid w:val="00B40B43"/>
    <w:rsid w:val="00B42580"/>
    <w:rsid w:val="00B425CC"/>
    <w:rsid w:val="00B426A8"/>
    <w:rsid w:val="00B5546D"/>
    <w:rsid w:val="00B55B06"/>
    <w:rsid w:val="00B5655B"/>
    <w:rsid w:val="00B576BF"/>
    <w:rsid w:val="00B57C00"/>
    <w:rsid w:val="00B61B21"/>
    <w:rsid w:val="00B63B15"/>
    <w:rsid w:val="00B66A79"/>
    <w:rsid w:val="00B7126C"/>
    <w:rsid w:val="00B715D0"/>
    <w:rsid w:val="00B72781"/>
    <w:rsid w:val="00B74FC9"/>
    <w:rsid w:val="00B8515A"/>
    <w:rsid w:val="00B8750A"/>
    <w:rsid w:val="00B938B4"/>
    <w:rsid w:val="00B9416A"/>
    <w:rsid w:val="00B95BB2"/>
    <w:rsid w:val="00B96EB1"/>
    <w:rsid w:val="00B97C22"/>
    <w:rsid w:val="00BA086D"/>
    <w:rsid w:val="00BA1F8F"/>
    <w:rsid w:val="00BA2763"/>
    <w:rsid w:val="00BB091A"/>
    <w:rsid w:val="00BB4BDC"/>
    <w:rsid w:val="00BB4C21"/>
    <w:rsid w:val="00BC0960"/>
    <w:rsid w:val="00BC28F9"/>
    <w:rsid w:val="00BC4095"/>
    <w:rsid w:val="00BC7188"/>
    <w:rsid w:val="00BC71AC"/>
    <w:rsid w:val="00BD00A5"/>
    <w:rsid w:val="00BD1B6A"/>
    <w:rsid w:val="00BD3D4A"/>
    <w:rsid w:val="00BD5E2A"/>
    <w:rsid w:val="00BE3862"/>
    <w:rsid w:val="00BE3B12"/>
    <w:rsid w:val="00BE4F8B"/>
    <w:rsid w:val="00BE6296"/>
    <w:rsid w:val="00BF2900"/>
    <w:rsid w:val="00BF4B60"/>
    <w:rsid w:val="00BF4DD5"/>
    <w:rsid w:val="00BF500C"/>
    <w:rsid w:val="00C0102E"/>
    <w:rsid w:val="00C024A8"/>
    <w:rsid w:val="00C02FED"/>
    <w:rsid w:val="00C044D1"/>
    <w:rsid w:val="00C06550"/>
    <w:rsid w:val="00C07639"/>
    <w:rsid w:val="00C15291"/>
    <w:rsid w:val="00C17202"/>
    <w:rsid w:val="00C240EB"/>
    <w:rsid w:val="00C27983"/>
    <w:rsid w:val="00C302D0"/>
    <w:rsid w:val="00C327D8"/>
    <w:rsid w:val="00C36001"/>
    <w:rsid w:val="00C438A9"/>
    <w:rsid w:val="00C45BDA"/>
    <w:rsid w:val="00C4721E"/>
    <w:rsid w:val="00C47935"/>
    <w:rsid w:val="00C50048"/>
    <w:rsid w:val="00C50295"/>
    <w:rsid w:val="00C51CB9"/>
    <w:rsid w:val="00C5300B"/>
    <w:rsid w:val="00C555C2"/>
    <w:rsid w:val="00C56BD7"/>
    <w:rsid w:val="00C60FEE"/>
    <w:rsid w:val="00C627AF"/>
    <w:rsid w:val="00C6640A"/>
    <w:rsid w:val="00C668A9"/>
    <w:rsid w:val="00C71767"/>
    <w:rsid w:val="00C73583"/>
    <w:rsid w:val="00C76D31"/>
    <w:rsid w:val="00C81113"/>
    <w:rsid w:val="00C81BBD"/>
    <w:rsid w:val="00C8470B"/>
    <w:rsid w:val="00C85570"/>
    <w:rsid w:val="00C8720A"/>
    <w:rsid w:val="00C920C6"/>
    <w:rsid w:val="00C9342E"/>
    <w:rsid w:val="00C95AF1"/>
    <w:rsid w:val="00C95EDD"/>
    <w:rsid w:val="00CA02F1"/>
    <w:rsid w:val="00CA151E"/>
    <w:rsid w:val="00CA1979"/>
    <w:rsid w:val="00CA492B"/>
    <w:rsid w:val="00CA4D1A"/>
    <w:rsid w:val="00CA7376"/>
    <w:rsid w:val="00CA7D33"/>
    <w:rsid w:val="00CB0B5A"/>
    <w:rsid w:val="00CB3714"/>
    <w:rsid w:val="00CB3953"/>
    <w:rsid w:val="00CB3E6C"/>
    <w:rsid w:val="00CB614F"/>
    <w:rsid w:val="00CB7119"/>
    <w:rsid w:val="00CB7DB9"/>
    <w:rsid w:val="00CC092C"/>
    <w:rsid w:val="00CD05C6"/>
    <w:rsid w:val="00CD604B"/>
    <w:rsid w:val="00CE0147"/>
    <w:rsid w:val="00CE0C91"/>
    <w:rsid w:val="00CE0F49"/>
    <w:rsid w:val="00CE28AC"/>
    <w:rsid w:val="00CE766C"/>
    <w:rsid w:val="00CF4AF2"/>
    <w:rsid w:val="00D00D63"/>
    <w:rsid w:val="00D01208"/>
    <w:rsid w:val="00D01A90"/>
    <w:rsid w:val="00D020CD"/>
    <w:rsid w:val="00D04FC9"/>
    <w:rsid w:val="00D11C98"/>
    <w:rsid w:val="00D1255B"/>
    <w:rsid w:val="00D125AB"/>
    <w:rsid w:val="00D1595A"/>
    <w:rsid w:val="00D15AA2"/>
    <w:rsid w:val="00D1713B"/>
    <w:rsid w:val="00D20A44"/>
    <w:rsid w:val="00D20B8B"/>
    <w:rsid w:val="00D2248C"/>
    <w:rsid w:val="00D2668D"/>
    <w:rsid w:val="00D319A3"/>
    <w:rsid w:val="00D31B6F"/>
    <w:rsid w:val="00D3626E"/>
    <w:rsid w:val="00D36466"/>
    <w:rsid w:val="00D37145"/>
    <w:rsid w:val="00D44F22"/>
    <w:rsid w:val="00D467D8"/>
    <w:rsid w:val="00D51C82"/>
    <w:rsid w:val="00D56A0A"/>
    <w:rsid w:val="00D60C01"/>
    <w:rsid w:val="00D627E4"/>
    <w:rsid w:val="00D64874"/>
    <w:rsid w:val="00D6572A"/>
    <w:rsid w:val="00D716A8"/>
    <w:rsid w:val="00D73572"/>
    <w:rsid w:val="00D743A6"/>
    <w:rsid w:val="00D7662E"/>
    <w:rsid w:val="00D76D87"/>
    <w:rsid w:val="00D77A58"/>
    <w:rsid w:val="00D8004E"/>
    <w:rsid w:val="00D80B38"/>
    <w:rsid w:val="00D81A18"/>
    <w:rsid w:val="00D83F6B"/>
    <w:rsid w:val="00D8533F"/>
    <w:rsid w:val="00D860D0"/>
    <w:rsid w:val="00D865A4"/>
    <w:rsid w:val="00D8765A"/>
    <w:rsid w:val="00D9049C"/>
    <w:rsid w:val="00D90943"/>
    <w:rsid w:val="00D915FF"/>
    <w:rsid w:val="00D9721D"/>
    <w:rsid w:val="00DA0441"/>
    <w:rsid w:val="00DA0484"/>
    <w:rsid w:val="00DA2CCB"/>
    <w:rsid w:val="00DA71E3"/>
    <w:rsid w:val="00DA7649"/>
    <w:rsid w:val="00DB165D"/>
    <w:rsid w:val="00DB27C1"/>
    <w:rsid w:val="00DB387E"/>
    <w:rsid w:val="00DC0DD5"/>
    <w:rsid w:val="00DC102F"/>
    <w:rsid w:val="00DC1279"/>
    <w:rsid w:val="00DC3067"/>
    <w:rsid w:val="00DC4FA8"/>
    <w:rsid w:val="00DC5400"/>
    <w:rsid w:val="00DC6C04"/>
    <w:rsid w:val="00DD204B"/>
    <w:rsid w:val="00DD4D35"/>
    <w:rsid w:val="00DD55B4"/>
    <w:rsid w:val="00DD7AE9"/>
    <w:rsid w:val="00DE2AA2"/>
    <w:rsid w:val="00DE3287"/>
    <w:rsid w:val="00DE7AC1"/>
    <w:rsid w:val="00DE7BE0"/>
    <w:rsid w:val="00DF0002"/>
    <w:rsid w:val="00DF07C4"/>
    <w:rsid w:val="00DF1130"/>
    <w:rsid w:val="00DF117B"/>
    <w:rsid w:val="00DF54B4"/>
    <w:rsid w:val="00DF5CF9"/>
    <w:rsid w:val="00E0383A"/>
    <w:rsid w:val="00E113C6"/>
    <w:rsid w:val="00E13B96"/>
    <w:rsid w:val="00E13D21"/>
    <w:rsid w:val="00E14DCD"/>
    <w:rsid w:val="00E1669D"/>
    <w:rsid w:val="00E17BC4"/>
    <w:rsid w:val="00E202C0"/>
    <w:rsid w:val="00E21862"/>
    <w:rsid w:val="00E251E9"/>
    <w:rsid w:val="00E267E6"/>
    <w:rsid w:val="00E3104A"/>
    <w:rsid w:val="00E3220C"/>
    <w:rsid w:val="00E34533"/>
    <w:rsid w:val="00E368D9"/>
    <w:rsid w:val="00E4037B"/>
    <w:rsid w:val="00E4136F"/>
    <w:rsid w:val="00E416EA"/>
    <w:rsid w:val="00E41A61"/>
    <w:rsid w:val="00E42618"/>
    <w:rsid w:val="00E442E1"/>
    <w:rsid w:val="00E521C9"/>
    <w:rsid w:val="00E53A04"/>
    <w:rsid w:val="00E6003E"/>
    <w:rsid w:val="00E614F1"/>
    <w:rsid w:val="00E61AB3"/>
    <w:rsid w:val="00E641DF"/>
    <w:rsid w:val="00E65F6D"/>
    <w:rsid w:val="00E67500"/>
    <w:rsid w:val="00E752DD"/>
    <w:rsid w:val="00E779C5"/>
    <w:rsid w:val="00E77B4D"/>
    <w:rsid w:val="00E81D4C"/>
    <w:rsid w:val="00E820F5"/>
    <w:rsid w:val="00E85CD9"/>
    <w:rsid w:val="00E87F8A"/>
    <w:rsid w:val="00E916E6"/>
    <w:rsid w:val="00E922B1"/>
    <w:rsid w:val="00E95579"/>
    <w:rsid w:val="00E96DDD"/>
    <w:rsid w:val="00EA17C4"/>
    <w:rsid w:val="00EA43A3"/>
    <w:rsid w:val="00EA7704"/>
    <w:rsid w:val="00EB0376"/>
    <w:rsid w:val="00EB398C"/>
    <w:rsid w:val="00EB45FF"/>
    <w:rsid w:val="00EB4A80"/>
    <w:rsid w:val="00EB55D9"/>
    <w:rsid w:val="00EB574E"/>
    <w:rsid w:val="00EB5F0B"/>
    <w:rsid w:val="00EB5F0D"/>
    <w:rsid w:val="00EC0711"/>
    <w:rsid w:val="00EC1D5B"/>
    <w:rsid w:val="00EC2CCC"/>
    <w:rsid w:val="00EC587D"/>
    <w:rsid w:val="00EC7D02"/>
    <w:rsid w:val="00ED068B"/>
    <w:rsid w:val="00ED0927"/>
    <w:rsid w:val="00ED5BBF"/>
    <w:rsid w:val="00ED65AF"/>
    <w:rsid w:val="00EE05DC"/>
    <w:rsid w:val="00EE50B0"/>
    <w:rsid w:val="00EF05D6"/>
    <w:rsid w:val="00EF513C"/>
    <w:rsid w:val="00F0211C"/>
    <w:rsid w:val="00F03897"/>
    <w:rsid w:val="00F046AA"/>
    <w:rsid w:val="00F16B0D"/>
    <w:rsid w:val="00F2061A"/>
    <w:rsid w:val="00F22B42"/>
    <w:rsid w:val="00F235F1"/>
    <w:rsid w:val="00F245F8"/>
    <w:rsid w:val="00F2495B"/>
    <w:rsid w:val="00F31252"/>
    <w:rsid w:val="00F31A57"/>
    <w:rsid w:val="00F328E6"/>
    <w:rsid w:val="00F34021"/>
    <w:rsid w:val="00F357E6"/>
    <w:rsid w:val="00F37C4B"/>
    <w:rsid w:val="00F37C67"/>
    <w:rsid w:val="00F40C4E"/>
    <w:rsid w:val="00F42C3C"/>
    <w:rsid w:val="00F432A0"/>
    <w:rsid w:val="00F44F44"/>
    <w:rsid w:val="00F51055"/>
    <w:rsid w:val="00F526B3"/>
    <w:rsid w:val="00F54F14"/>
    <w:rsid w:val="00F55D59"/>
    <w:rsid w:val="00F56CA1"/>
    <w:rsid w:val="00F61201"/>
    <w:rsid w:val="00F616FD"/>
    <w:rsid w:val="00F65154"/>
    <w:rsid w:val="00F710D5"/>
    <w:rsid w:val="00F7284A"/>
    <w:rsid w:val="00F75425"/>
    <w:rsid w:val="00F7611E"/>
    <w:rsid w:val="00F763F6"/>
    <w:rsid w:val="00F831DA"/>
    <w:rsid w:val="00F864DC"/>
    <w:rsid w:val="00F86CE7"/>
    <w:rsid w:val="00F87207"/>
    <w:rsid w:val="00F9238D"/>
    <w:rsid w:val="00F92AEC"/>
    <w:rsid w:val="00F92DB3"/>
    <w:rsid w:val="00F93E4A"/>
    <w:rsid w:val="00F9789C"/>
    <w:rsid w:val="00F97D42"/>
    <w:rsid w:val="00FB3064"/>
    <w:rsid w:val="00FB45FF"/>
    <w:rsid w:val="00FB5E50"/>
    <w:rsid w:val="00FC5D78"/>
    <w:rsid w:val="00FC6F93"/>
    <w:rsid w:val="00FC720F"/>
    <w:rsid w:val="00FD1556"/>
    <w:rsid w:val="00FD7CCF"/>
    <w:rsid w:val="00FE123F"/>
    <w:rsid w:val="00FE3BF0"/>
    <w:rsid w:val="00FE77FA"/>
    <w:rsid w:val="00FF35D6"/>
    <w:rsid w:val="00FF49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7279B"/>
  <w15:chartTrackingRefBased/>
  <w15:docId w15:val="{84219694-E922-4D8E-9A82-9DF3590B7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24"/>
  </w:style>
  <w:style w:type="paragraph" w:styleId="Ttulo1">
    <w:name w:val="heading 1"/>
    <w:basedOn w:val="Normal"/>
    <w:next w:val="Normal"/>
    <w:link w:val="Ttulo1Car"/>
    <w:uiPriority w:val="9"/>
    <w:qFormat/>
    <w:rsid w:val="00AA77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A77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A772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AA772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A772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A772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A772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772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772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772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A772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A772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A772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A772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A772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772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772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7724"/>
    <w:rPr>
      <w:rFonts w:eastAsiaTheme="majorEastAsia" w:cstheme="majorBidi"/>
      <w:color w:val="272727" w:themeColor="text1" w:themeTint="D8"/>
    </w:rPr>
  </w:style>
  <w:style w:type="paragraph" w:styleId="Ttulo">
    <w:name w:val="Title"/>
    <w:basedOn w:val="Normal"/>
    <w:next w:val="Normal"/>
    <w:link w:val="TtuloCar"/>
    <w:uiPriority w:val="10"/>
    <w:qFormat/>
    <w:rsid w:val="00AA77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772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A772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A772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7724"/>
    <w:pPr>
      <w:spacing w:before="160"/>
      <w:jc w:val="center"/>
    </w:pPr>
    <w:rPr>
      <w:i/>
      <w:iCs/>
      <w:color w:val="404040" w:themeColor="text1" w:themeTint="BF"/>
    </w:rPr>
  </w:style>
  <w:style w:type="character" w:customStyle="1" w:styleId="CitaCar">
    <w:name w:val="Cita Car"/>
    <w:basedOn w:val="Fuentedeprrafopredeter"/>
    <w:link w:val="Cita"/>
    <w:uiPriority w:val="29"/>
    <w:rsid w:val="00AA7724"/>
    <w:rPr>
      <w:i/>
      <w:iCs/>
      <w:color w:val="404040" w:themeColor="text1" w:themeTint="BF"/>
    </w:rPr>
  </w:style>
  <w:style w:type="paragraph" w:styleId="Prrafodelista">
    <w:name w:val="List Paragraph"/>
    <w:basedOn w:val="Normal"/>
    <w:uiPriority w:val="34"/>
    <w:qFormat/>
    <w:rsid w:val="00AA7724"/>
    <w:pPr>
      <w:ind w:left="720"/>
      <w:contextualSpacing/>
    </w:pPr>
  </w:style>
  <w:style w:type="character" w:styleId="nfasisintenso">
    <w:name w:val="Intense Emphasis"/>
    <w:basedOn w:val="Fuentedeprrafopredeter"/>
    <w:uiPriority w:val="21"/>
    <w:qFormat/>
    <w:rsid w:val="00AA7724"/>
    <w:rPr>
      <w:i/>
      <w:iCs/>
      <w:color w:val="0F4761" w:themeColor="accent1" w:themeShade="BF"/>
    </w:rPr>
  </w:style>
  <w:style w:type="paragraph" w:styleId="Citadestacada">
    <w:name w:val="Intense Quote"/>
    <w:basedOn w:val="Normal"/>
    <w:next w:val="Normal"/>
    <w:link w:val="CitadestacadaCar"/>
    <w:uiPriority w:val="30"/>
    <w:qFormat/>
    <w:rsid w:val="00AA77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A7724"/>
    <w:rPr>
      <w:i/>
      <w:iCs/>
      <w:color w:val="0F4761" w:themeColor="accent1" w:themeShade="BF"/>
    </w:rPr>
  </w:style>
  <w:style w:type="character" w:styleId="Referenciaintensa">
    <w:name w:val="Intense Reference"/>
    <w:basedOn w:val="Fuentedeprrafopredeter"/>
    <w:uiPriority w:val="32"/>
    <w:qFormat/>
    <w:rsid w:val="00AA7724"/>
    <w:rPr>
      <w:b/>
      <w:bCs/>
      <w:smallCaps/>
      <w:color w:val="0F4761" w:themeColor="accent1" w:themeShade="BF"/>
      <w:spacing w:val="5"/>
    </w:rPr>
  </w:style>
  <w:style w:type="character" w:styleId="Hipervnculo">
    <w:name w:val="Hyperlink"/>
    <w:basedOn w:val="Fuentedeprrafopredeter"/>
    <w:uiPriority w:val="99"/>
    <w:unhideWhenUsed/>
    <w:rsid w:val="0003125F"/>
    <w:rPr>
      <w:color w:val="467886" w:themeColor="hyperlink"/>
      <w:u w:val="single"/>
    </w:rPr>
  </w:style>
  <w:style w:type="character" w:customStyle="1" w:styleId="Mencinsinresolver1">
    <w:name w:val="Mención sin resolver1"/>
    <w:basedOn w:val="Fuentedeprrafopredeter"/>
    <w:uiPriority w:val="99"/>
    <w:semiHidden/>
    <w:unhideWhenUsed/>
    <w:rsid w:val="0003125F"/>
    <w:rPr>
      <w:color w:val="605E5C"/>
      <w:shd w:val="clear" w:color="auto" w:fill="E1DFDD"/>
    </w:rPr>
  </w:style>
  <w:style w:type="paragraph" w:styleId="Descripcin">
    <w:name w:val="caption"/>
    <w:basedOn w:val="Normal"/>
    <w:next w:val="Normal"/>
    <w:uiPriority w:val="35"/>
    <w:unhideWhenUsed/>
    <w:qFormat/>
    <w:rsid w:val="00512E20"/>
    <w:pPr>
      <w:spacing w:after="200" w:line="240" w:lineRule="auto"/>
    </w:pPr>
    <w:rPr>
      <w:i/>
      <w:iCs/>
      <w:color w:val="0E2841" w:themeColor="text2"/>
      <w:sz w:val="18"/>
      <w:szCs w:val="18"/>
    </w:rPr>
  </w:style>
  <w:style w:type="table" w:styleId="Tablaconcuadrcula">
    <w:name w:val="Table Grid"/>
    <w:basedOn w:val="Tablanormal"/>
    <w:uiPriority w:val="39"/>
    <w:rsid w:val="000F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204B"/>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customStyle="1" w:styleId="TableParagraph">
    <w:name w:val="Table Paragraph"/>
    <w:basedOn w:val="Normal"/>
    <w:uiPriority w:val="1"/>
    <w:qFormat/>
    <w:rsid w:val="007F3AA2"/>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paragraph" w:styleId="Textoindependiente">
    <w:name w:val="Body Text"/>
    <w:basedOn w:val="Normal"/>
    <w:link w:val="TextoindependienteCar"/>
    <w:uiPriority w:val="1"/>
    <w:unhideWhenUsed/>
    <w:qFormat/>
    <w:rsid w:val="007F3AA2"/>
    <w:pPr>
      <w:widowControl w:val="0"/>
      <w:autoSpaceDE w:val="0"/>
      <w:autoSpaceDN w:val="0"/>
      <w:spacing w:after="0" w:line="240" w:lineRule="auto"/>
    </w:pPr>
    <w:rPr>
      <w:rFonts w:ascii="Verdana" w:eastAsia="Verdana" w:hAnsi="Verdana" w:cs="Verdana"/>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7F3AA2"/>
    <w:rPr>
      <w:rFonts w:ascii="Verdana" w:eastAsia="Verdana" w:hAnsi="Verdana" w:cs="Verdana"/>
      <w:kern w:val="0"/>
      <w:sz w:val="20"/>
      <w:szCs w:val="20"/>
      <w:lang w:val="es-ES"/>
      <w14:ligatures w14:val="none"/>
    </w:rPr>
  </w:style>
  <w:style w:type="table" w:styleId="Tablaconcuadrculaclara">
    <w:name w:val="Grid Table Light"/>
    <w:basedOn w:val="Tablanormal"/>
    <w:uiPriority w:val="40"/>
    <w:rsid w:val="005978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1">
    <w:name w:val="toc 1"/>
    <w:basedOn w:val="Normal"/>
    <w:next w:val="Normal"/>
    <w:autoRedefine/>
    <w:uiPriority w:val="39"/>
    <w:unhideWhenUsed/>
    <w:rsid w:val="00F31252"/>
    <w:pPr>
      <w:spacing w:after="100"/>
    </w:pPr>
  </w:style>
  <w:style w:type="paragraph" w:styleId="TDC2">
    <w:name w:val="toc 2"/>
    <w:basedOn w:val="Normal"/>
    <w:next w:val="Normal"/>
    <w:autoRedefine/>
    <w:uiPriority w:val="39"/>
    <w:unhideWhenUsed/>
    <w:rsid w:val="00F31252"/>
    <w:pPr>
      <w:spacing w:after="100"/>
      <w:ind w:left="240"/>
    </w:pPr>
  </w:style>
  <w:style w:type="paragraph" w:styleId="TDC3">
    <w:name w:val="toc 3"/>
    <w:basedOn w:val="Normal"/>
    <w:next w:val="Normal"/>
    <w:autoRedefine/>
    <w:uiPriority w:val="39"/>
    <w:unhideWhenUsed/>
    <w:rsid w:val="00F31252"/>
    <w:pPr>
      <w:spacing w:after="100"/>
      <w:ind w:left="480"/>
    </w:pPr>
  </w:style>
  <w:style w:type="character" w:styleId="Textoennegrita">
    <w:name w:val="Strong"/>
    <w:basedOn w:val="Fuentedeprrafopredeter"/>
    <w:uiPriority w:val="22"/>
    <w:qFormat/>
    <w:rsid w:val="001F6E08"/>
    <w:rPr>
      <w:b/>
      <w:bCs/>
    </w:rPr>
  </w:style>
  <w:style w:type="paragraph" w:styleId="Tabladeilustraciones">
    <w:name w:val="table of figures"/>
    <w:basedOn w:val="Normal"/>
    <w:next w:val="Normal"/>
    <w:uiPriority w:val="99"/>
    <w:unhideWhenUsed/>
    <w:rsid w:val="00331EBF"/>
    <w:pPr>
      <w:spacing w:after="0"/>
    </w:pPr>
  </w:style>
  <w:style w:type="paragraph" w:styleId="Sinespaciado">
    <w:name w:val="No Spacing"/>
    <w:link w:val="SinespaciadoCar"/>
    <w:uiPriority w:val="1"/>
    <w:qFormat/>
    <w:rsid w:val="00582C85"/>
    <w:pPr>
      <w:spacing w:after="0" w:line="240" w:lineRule="auto"/>
    </w:pPr>
    <w:rPr>
      <w:rFonts w:eastAsiaTheme="minorEastAsia"/>
      <w:kern w:val="0"/>
      <w:sz w:val="22"/>
      <w:szCs w:val="22"/>
      <w:lang w:eastAsia="es-CO"/>
      <w14:ligatures w14:val="none"/>
    </w:rPr>
  </w:style>
  <w:style w:type="character" w:customStyle="1" w:styleId="SinespaciadoCar">
    <w:name w:val="Sin espaciado Car"/>
    <w:basedOn w:val="Fuentedeprrafopredeter"/>
    <w:link w:val="Sinespaciado"/>
    <w:uiPriority w:val="1"/>
    <w:rsid w:val="00582C85"/>
    <w:rPr>
      <w:rFonts w:eastAsiaTheme="minorEastAsia"/>
      <w:kern w:val="0"/>
      <w:sz w:val="22"/>
      <w:szCs w:val="22"/>
      <w:lang w:eastAsia="es-CO"/>
      <w14:ligatures w14:val="none"/>
    </w:rPr>
  </w:style>
  <w:style w:type="paragraph" w:styleId="Encabezado">
    <w:name w:val="header"/>
    <w:basedOn w:val="Normal"/>
    <w:link w:val="EncabezadoCar"/>
    <w:uiPriority w:val="99"/>
    <w:unhideWhenUsed/>
    <w:rsid w:val="00543D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3D23"/>
  </w:style>
  <w:style w:type="paragraph" w:styleId="Piedepgina">
    <w:name w:val="footer"/>
    <w:basedOn w:val="Normal"/>
    <w:link w:val="PiedepginaCar"/>
    <w:uiPriority w:val="99"/>
    <w:unhideWhenUsed/>
    <w:rsid w:val="00543D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3D23"/>
  </w:style>
  <w:style w:type="paragraph" w:customStyle="1" w:styleId="TITULOPREGUNTAS">
    <w:name w:val="TITULO PREGUNTAS"/>
    <w:basedOn w:val="Normal"/>
    <w:link w:val="TITULOPREGUNTASCar"/>
    <w:qFormat/>
    <w:rsid w:val="00B96EB1"/>
    <w:pPr>
      <w:numPr>
        <w:numId w:val="29"/>
      </w:numPr>
      <w:pBdr>
        <w:top w:val="nil"/>
        <w:left w:val="nil"/>
        <w:bottom w:val="nil"/>
        <w:right w:val="nil"/>
        <w:between w:val="nil"/>
      </w:pBdr>
      <w:spacing w:after="0" w:line="276" w:lineRule="auto"/>
      <w:ind w:left="426" w:hanging="426"/>
      <w:jc w:val="both"/>
    </w:pPr>
    <w:rPr>
      <w:rFonts w:ascii="Verdana" w:hAnsi="Verdana" w:cs="Fredoka SemiBold"/>
      <w:b/>
      <w:bCs/>
      <w:color w:val="215E99" w:themeColor="text2" w:themeTint="BF"/>
    </w:rPr>
  </w:style>
  <w:style w:type="paragraph" w:customStyle="1" w:styleId="Cuerpotxtrespuesta">
    <w:name w:val="Cuerpo txt respuesta"/>
    <w:basedOn w:val="Normal"/>
    <w:link w:val="CuerpotxtrespuestaCar"/>
    <w:qFormat/>
    <w:rsid w:val="00B96EB1"/>
    <w:pPr>
      <w:spacing w:after="0" w:line="276" w:lineRule="auto"/>
      <w:jc w:val="both"/>
    </w:pPr>
    <w:rPr>
      <w:rFonts w:ascii="Verdana" w:hAnsi="Verdana" w:cs="Fredoka"/>
      <w:sz w:val="22"/>
      <w:szCs w:val="22"/>
    </w:rPr>
  </w:style>
  <w:style w:type="character" w:customStyle="1" w:styleId="TITULOPREGUNTASCar">
    <w:name w:val="TITULO PREGUNTAS Car"/>
    <w:basedOn w:val="Fuentedeprrafopredeter"/>
    <w:link w:val="TITULOPREGUNTAS"/>
    <w:rsid w:val="00B96EB1"/>
    <w:rPr>
      <w:rFonts w:ascii="Verdana" w:hAnsi="Verdana" w:cs="Fredoka SemiBold"/>
      <w:b/>
      <w:bCs/>
      <w:color w:val="215E99" w:themeColor="text2" w:themeTint="BF"/>
    </w:rPr>
  </w:style>
  <w:style w:type="character" w:customStyle="1" w:styleId="CuerpotxtrespuestaCar">
    <w:name w:val="Cuerpo txt respuesta Car"/>
    <w:basedOn w:val="Fuentedeprrafopredeter"/>
    <w:link w:val="Cuerpotxtrespuesta"/>
    <w:rsid w:val="00B96EB1"/>
    <w:rPr>
      <w:rFonts w:ascii="Verdana" w:hAnsi="Verdana" w:cs="Fredoka"/>
      <w:sz w:val="22"/>
      <w:szCs w:val="22"/>
    </w:rPr>
  </w:style>
  <w:style w:type="character" w:styleId="Nmerodelnea">
    <w:name w:val="line number"/>
    <w:basedOn w:val="Fuentedeprrafopredeter"/>
    <w:uiPriority w:val="99"/>
    <w:semiHidden/>
    <w:unhideWhenUsed/>
    <w:rsid w:val="00A446BB"/>
  </w:style>
  <w:style w:type="character" w:styleId="Mencinsinresolver">
    <w:name w:val="Unresolved Mention"/>
    <w:basedOn w:val="Fuentedeprrafopredeter"/>
    <w:uiPriority w:val="99"/>
    <w:semiHidden/>
    <w:unhideWhenUsed/>
    <w:rsid w:val="00D2248C"/>
    <w:rPr>
      <w:color w:val="605E5C"/>
      <w:shd w:val="clear" w:color="auto" w:fill="E1DFDD"/>
    </w:rPr>
  </w:style>
  <w:style w:type="character" w:styleId="nfasis">
    <w:name w:val="Emphasis"/>
    <w:basedOn w:val="Fuentedeprrafopredeter"/>
    <w:uiPriority w:val="20"/>
    <w:qFormat/>
    <w:rsid w:val="002F2D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1253">
      <w:bodyDiv w:val="1"/>
      <w:marLeft w:val="0"/>
      <w:marRight w:val="0"/>
      <w:marTop w:val="0"/>
      <w:marBottom w:val="0"/>
      <w:divBdr>
        <w:top w:val="none" w:sz="0" w:space="0" w:color="auto"/>
        <w:left w:val="none" w:sz="0" w:space="0" w:color="auto"/>
        <w:bottom w:val="none" w:sz="0" w:space="0" w:color="auto"/>
        <w:right w:val="none" w:sz="0" w:space="0" w:color="auto"/>
      </w:divBdr>
    </w:div>
    <w:div w:id="392389371">
      <w:bodyDiv w:val="1"/>
      <w:marLeft w:val="0"/>
      <w:marRight w:val="0"/>
      <w:marTop w:val="0"/>
      <w:marBottom w:val="0"/>
      <w:divBdr>
        <w:top w:val="none" w:sz="0" w:space="0" w:color="auto"/>
        <w:left w:val="none" w:sz="0" w:space="0" w:color="auto"/>
        <w:bottom w:val="none" w:sz="0" w:space="0" w:color="auto"/>
        <w:right w:val="none" w:sz="0" w:space="0" w:color="auto"/>
      </w:divBdr>
      <w:divsChild>
        <w:div w:id="442530805">
          <w:marLeft w:val="0"/>
          <w:marRight w:val="0"/>
          <w:marTop w:val="0"/>
          <w:marBottom w:val="0"/>
          <w:divBdr>
            <w:top w:val="none" w:sz="0" w:space="0" w:color="auto"/>
            <w:left w:val="none" w:sz="0" w:space="0" w:color="auto"/>
            <w:bottom w:val="none" w:sz="0" w:space="0" w:color="auto"/>
            <w:right w:val="none" w:sz="0" w:space="0" w:color="auto"/>
          </w:divBdr>
        </w:div>
        <w:div w:id="144778923">
          <w:marLeft w:val="0"/>
          <w:marRight w:val="0"/>
          <w:marTop w:val="0"/>
          <w:marBottom w:val="0"/>
          <w:divBdr>
            <w:top w:val="none" w:sz="0" w:space="0" w:color="auto"/>
            <w:left w:val="none" w:sz="0" w:space="0" w:color="auto"/>
            <w:bottom w:val="none" w:sz="0" w:space="0" w:color="auto"/>
            <w:right w:val="none" w:sz="0" w:space="0" w:color="auto"/>
          </w:divBdr>
        </w:div>
        <w:div w:id="4216922">
          <w:marLeft w:val="0"/>
          <w:marRight w:val="0"/>
          <w:marTop w:val="0"/>
          <w:marBottom w:val="0"/>
          <w:divBdr>
            <w:top w:val="none" w:sz="0" w:space="0" w:color="auto"/>
            <w:left w:val="none" w:sz="0" w:space="0" w:color="auto"/>
            <w:bottom w:val="none" w:sz="0" w:space="0" w:color="auto"/>
            <w:right w:val="none" w:sz="0" w:space="0" w:color="auto"/>
          </w:divBdr>
        </w:div>
      </w:divsChild>
    </w:div>
    <w:div w:id="731581082">
      <w:bodyDiv w:val="1"/>
      <w:marLeft w:val="0"/>
      <w:marRight w:val="0"/>
      <w:marTop w:val="0"/>
      <w:marBottom w:val="0"/>
      <w:divBdr>
        <w:top w:val="none" w:sz="0" w:space="0" w:color="auto"/>
        <w:left w:val="none" w:sz="0" w:space="0" w:color="auto"/>
        <w:bottom w:val="none" w:sz="0" w:space="0" w:color="auto"/>
        <w:right w:val="none" w:sz="0" w:space="0" w:color="auto"/>
      </w:divBdr>
    </w:div>
    <w:div w:id="851068266">
      <w:bodyDiv w:val="1"/>
      <w:marLeft w:val="0"/>
      <w:marRight w:val="0"/>
      <w:marTop w:val="0"/>
      <w:marBottom w:val="0"/>
      <w:divBdr>
        <w:top w:val="none" w:sz="0" w:space="0" w:color="auto"/>
        <w:left w:val="none" w:sz="0" w:space="0" w:color="auto"/>
        <w:bottom w:val="none" w:sz="0" w:space="0" w:color="auto"/>
        <w:right w:val="none" w:sz="0" w:space="0" w:color="auto"/>
      </w:divBdr>
    </w:div>
    <w:div w:id="958488115">
      <w:bodyDiv w:val="1"/>
      <w:marLeft w:val="0"/>
      <w:marRight w:val="0"/>
      <w:marTop w:val="0"/>
      <w:marBottom w:val="0"/>
      <w:divBdr>
        <w:top w:val="none" w:sz="0" w:space="0" w:color="auto"/>
        <w:left w:val="none" w:sz="0" w:space="0" w:color="auto"/>
        <w:bottom w:val="none" w:sz="0" w:space="0" w:color="auto"/>
        <w:right w:val="none" w:sz="0" w:space="0" w:color="auto"/>
      </w:divBdr>
    </w:div>
    <w:div w:id="1104614095">
      <w:bodyDiv w:val="1"/>
      <w:marLeft w:val="0"/>
      <w:marRight w:val="0"/>
      <w:marTop w:val="0"/>
      <w:marBottom w:val="0"/>
      <w:divBdr>
        <w:top w:val="none" w:sz="0" w:space="0" w:color="auto"/>
        <w:left w:val="none" w:sz="0" w:space="0" w:color="auto"/>
        <w:bottom w:val="none" w:sz="0" w:space="0" w:color="auto"/>
        <w:right w:val="none" w:sz="0" w:space="0" w:color="auto"/>
      </w:divBdr>
    </w:div>
    <w:div w:id="1170099351">
      <w:bodyDiv w:val="1"/>
      <w:marLeft w:val="0"/>
      <w:marRight w:val="0"/>
      <w:marTop w:val="0"/>
      <w:marBottom w:val="0"/>
      <w:divBdr>
        <w:top w:val="none" w:sz="0" w:space="0" w:color="auto"/>
        <w:left w:val="none" w:sz="0" w:space="0" w:color="auto"/>
        <w:bottom w:val="none" w:sz="0" w:space="0" w:color="auto"/>
        <w:right w:val="none" w:sz="0" w:space="0" w:color="auto"/>
      </w:divBdr>
    </w:div>
    <w:div w:id="1220553514">
      <w:bodyDiv w:val="1"/>
      <w:marLeft w:val="0"/>
      <w:marRight w:val="0"/>
      <w:marTop w:val="0"/>
      <w:marBottom w:val="0"/>
      <w:divBdr>
        <w:top w:val="none" w:sz="0" w:space="0" w:color="auto"/>
        <w:left w:val="none" w:sz="0" w:space="0" w:color="auto"/>
        <w:bottom w:val="none" w:sz="0" w:space="0" w:color="auto"/>
        <w:right w:val="none" w:sz="0" w:space="0" w:color="auto"/>
      </w:divBdr>
    </w:div>
    <w:div w:id="1271282019">
      <w:bodyDiv w:val="1"/>
      <w:marLeft w:val="0"/>
      <w:marRight w:val="0"/>
      <w:marTop w:val="0"/>
      <w:marBottom w:val="0"/>
      <w:divBdr>
        <w:top w:val="none" w:sz="0" w:space="0" w:color="auto"/>
        <w:left w:val="none" w:sz="0" w:space="0" w:color="auto"/>
        <w:bottom w:val="none" w:sz="0" w:space="0" w:color="auto"/>
        <w:right w:val="none" w:sz="0" w:space="0" w:color="auto"/>
      </w:divBdr>
    </w:div>
    <w:div w:id="1291087988">
      <w:bodyDiv w:val="1"/>
      <w:marLeft w:val="0"/>
      <w:marRight w:val="0"/>
      <w:marTop w:val="0"/>
      <w:marBottom w:val="0"/>
      <w:divBdr>
        <w:top w:val="none" w:sz="0" w:space="0" w:color="auto"/>
        <w:left w:val="none" w:sz="0" w:space="0" w:color="auto"/>
        <w:bottom w:val="none" w:sz="0" w:space="0" w:color="auto"/>
        <w:right w:val="none" w:sz="0" w:space="0" w:color="auto"/>
      </w:divBdr>
    </w:div>
    <w:div w:id="1662201342">
      <w:bodyDiv w:val="1"/>
      <w:marLeft w:val="0"/>
      <w:marRight w:val="0"/>
      <w:marTop w:val="0"/>
      <w:marBottom w:val="0"/>
      <w:divBdr>
        <w:top w:val="none" w:sz="0" w:space="0" w:color="auto"/>
        <w:left w:val="none" w:sz="0" w:space="0" w:color="auto"/>
        <w:bottom w:val="none" w:sz="0" w:space="0" w:color="auto"/>
        <w:right w:val="none" w:sz="0" w:space="0" w:color="auto"/>
      </w:divBdr>
    </w:div>
    <w:div w:id="1953589789">
      <w:bodyDiv w:val="1"/>
      <w:marLeft w:val="0"/>
      <w:marRight w:val="0"/>
      <w:marTop w:val="0"/>
      <w:marBottom w:val="0"/>
      <w:divBdr>
        <w:top w:val="none" w:sz="0" w:space="0" w:color="auto"/>
        <w:left w:val="none" w:sz="0" w:space="0" w:color="auto"/>
        <w:bottom w:val="none" w:sz="0" w:space="0" w:color="auto"/>
        <w:right w:val="none" w:sz="0" w:space="0" w:color="auto"/>
      </w:divBdr>
      <w:divsChild>
        <w:div w:id="395857513">
          <w:marLeft w:val="0"/>
          <w:marRight w:val="0"/>
          <w:marTop w:val="0"/>
          <w:marBottom w:val="0"/>
          <w:divBdr>
            <w:top w:val="none" w:sz="0" w:space="0" w:color="auto"/>
            <w:left w:val="none" w:sz="0" w:space="0" w:color="auto"/>
            <w:bottom w:val="none" w:sz="0" w:space="0" w:color="auto"/>
            <w:right w:val="none" w:sz="0" w:space="0" w:color="auto"/>
          </w:divBdr>
        </w:div>
        <w:div w:id="1067190673">
          <w:marLeft w:val="0"/>
          <w:marRight w:val="0"/>
          <w:marTop w:val="0"/>
          <w:marBottom w:val="0"/>
          <w:divBdr>
            <w:top w:val="none" w:sz="0" w:space="0" w:color="auto"/>
            <w:left w:val="none" w:sz="0" w:space="0" w:color="auto"/>
            <w:bottom w:val="none" w:sz="0" w:space="0" w:color="auto"/>
            <w:right w:val="none" w:sz="0" w:space="0" w:color="auto"/>
          </w:divBdr>
        </w:div>
        <w:div w:id="428043398">
          <w:marLeft w:val="0"/>
          <w:marRight w:val="0"/>
          <w:marTop w:val="0"/>
          <w:marBottom w:val="0"/>
          <w:divBdr>
            <w:top w:val="none" w:sz="0" w:space="0" w:color="auto"/>
            <w:left w:val="none" w:sz="0" w:space="0" w:color="auto"/>
            <w:bottom w:val="none" w:sz="0" w:space="0" w:color="auto"/>
            <w:right w:val="none" w:sz="0" w:space="0" w:color="auto"/>
          </w:divBdr>
        </w:div>
        <w:div w:id="22176288">
          <w:marLeft w:val="0"/>
          <w:marRight w:val="0"/>
          <w:marTop w:val="0"/>
          <w:marBottom w:val="0"/>
          <w:divBdr>
            <w:top w:val="none" w:sz="0" w:space="0" w:color="auto"/>
            <w:left w:val="none" w:sz="0" w:space="0" w:color="auto"/>
            <w:bottom w:val="none" w:sz="0" w:space="0" w:color="auto"/>
            <w:right w:val="none" w:sz="0" w:space="0" w:color="auto"/>
          </w:divBdr>
        </w:div>
        <w:div w:id="468060512">
          <w:marLeft w:val="0"/>
          <w:marRight w:val="0"/>
          <w:marTop w:val="0"/>
          <w:marBottom w:val="0"/>
          <w:divBdr>
            <w:top w:val="none" w:sz="0" w:space="0" w:color="auto"/>
            <w:left w:val="none" w:sz="0" w:space="0" w:color="auto"/>
            <w:bottom w:val="none" w:sz="0" w:space="0" w:color="auto"/>
            <w:right w:val="none" w:sz="0" w:space="0" w:color="auto"/>
          </w:divBdr>
        </w:div>
        <w:div w:id="1143424727">
          <w:marLeft w:val="0"/>
          <w:marRight w:val="0"/>
          <w:marTop w:val="0"/>
          <w:marBottom w:val="0"/>
          <w:divBdr>
            <w:top w:val="none" w:sz="0" w:space="0" w:color="auto"/>
            <w:left w:val="none" w:sz="0" w:space="0" w:color="auto"/>
            <w:bottom w:val="none" w:sz="0" w:space="0" w:color="auto"/>
            <w:right w:val="none" w:sz="0" w:space="0" w:color="auto"/>
          </w:divBdr>
        </w:div>
        <w:div w:id="1078749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enunciasporcorrupcion@supersolidaria.gov.c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tencionalciudadano@supersolidaria.gov.c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2025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7239CD-8B78-40EF-8A6E-D73A47A9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7431</Words>
  <Characters>40875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superintendencia de la eonomía solidaria</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dc:creator>
  <cp:keywords/>
  <dc:description/>
  <cp:lastModifiedBy>Angelica Maria Zamora Acosta</cp:lastModifiedBy>
  <cp:revision>9</cp:revision>
  <dcterms:created xsi:type="dcterms:W3CDTF">2026-01-27T19:35:00Z</dcterms:created>
  <dcterms:modified xsi:type="dcterms:W3CDTF">2026-02-02T19:12:00Z</dcterms:modified>
</cp:coreProperties>
</file>