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CAE3A" w14:textId="5DF4C8C8" w:rsidR="00FD1E67" w:rsidRPr="003F5C96" w:rsidRDefault="00FD1E67" w:rsidP="00FD1E67">
      <w:pPr>
        <w:pStyle w:val="Encabezado"/>
        <w:jc w:val="center"/>
        <w:rPr>
          <w:rFonts w:ascii="Verdana" w:hAnsi="Verdana" w:cs="Arial"/>
          <w:b/>
          <w:bCs/>
        </w:rPr>
      </w:pPr>
      <w:r w:rsidRPr="003F5C96">
        <w:rPr>
          <w:rFonts w:ascii="Verdana" w:hAnsi="Verdana" w:cs="Arial"/>
          <w:b/>
          <w:bCs/>
        </w:rPr>
        <w:t>CIRCULAR BASICA CONTABLE Y FINANCIERA</w:t>
      </w:r>
    </w:p>
    <w:p w14:paraId="12C7904D" w14:textId="0CF7A62E" w:rsidR="003F5C96" w:rsidRPr="003F5C96" w:rsidRDefault="003F5C96" w:rsidP="00FD1E67">
      <w:pPr>
        <w:pStyle w:val="Encabezado"/>
        <w:jc w:val="center"/>
        <w:rPr>
          <w:rFonts w:ascii="Verdana" w:hAnsi="Verdana" w:cs="Arial"/>
          <w:b/>
          <w:bCs/>
        </w:rPr>
      </w:pPr>
    </w:p>
    <w:p w14:paraId="5C6BFB72" w14:textId="77777777" w:rsidR="003F5C96" w:rsidRPr="003F5C96" w:rsidRDefault="003F5C96" w:rsidP="003F5C96">
      <w:pPr>
        <w:jc w:val="both"/>
        <w:rPr>
          <w:rFonts w:ascii="Verdana" w:hAnsi="Verdana"/>
        </w:rPr>
      </w:pPr>
      <w:r w:rsidRPr="003F5C96">
        <w:rPr>
          <w:rFonts w:ascii="Verdana" w:hAnsi="Verdana"/>
        </w:rPr>
        <w:t xml:space="preserve">El SARC se instrumenta a través de las etapas del proceso de crédito y de los elementos establecidos en el presente capítulo, en el cual se fijan lineamientos mínimos que las organizaciones solidarias vigiladas deben tener en cuenta para evaluar en forma adecuada el riesgo crediticio implícito en los activos, así como los requisitos para la clasificación, calificación y deterioro de la cartera de créditos, de modo que dicho activo se registre de acuerdo con su realidad económica y contable. </w:t>
      </w:r>
    </w:p>
    <w:p w14:paraId="76CEFB07" w14:textId="77777777" w:rsidR="003F5C96" w:rsidRPr="003F5C96" w:rsidRDefault="003F5C96" w:rsidP="003F5C96">
      <w:pPr>
        <w:jc w:val="both"/>
        <w:rPr>
          <w:rFonts w:ascii="Verdana" w:hAnsi="Verdana"/>
        </w:rPr>
      </w:pPr>
      <w:r w:rsidRPr="003F5C96">
        <w:rPr>
          <w:rFonts w:ascii="Verdana" w:hAnsi="Verdana"/>
        </w:rPr>
        <w:t xml:space="preserve">El SARC debe contener políticas y procedimientos claros y precisos que definan los criterios y la forma mediante la cual la organización solidaria vigilada identifica, evalúa, asume, califica, controla y cubre su riesgo crediticio. Para ello, los órganos de dirección, administración y control de las organizaciones solidarias vigiladas deben adoptar políticas y mecanismos especiales para la adecuada administración del riesgo de crédito, no sólo desde la perspectiva de su cubrimiento a través de un sistema de deterioro, sino también a través de la administración del proceso de otorgamiento de créditos y permanente seguimiento de estos. </w:t>
      </w:r>
    </w:p>
    <w:p w14:paraId="62E93408" w14:textId="77777777" w:rsidR="003F5C96" w:rsidRPr="003F5C96" w:rsidRDefault="003F5C96" w:rsidP="003F5C96">
      <w:pPr>
        <w:jc w:val="both"/>
        <w:rPr>
          <w:rFonts w:ascii="Verdana" w:hAnsi="Verdana"/>
        </w:rPr>
      </w:pPr>
      <w:r w:rsidRPr="003F5C96">
        <w:rPr>
          <w:rFonts w:ascii="Verdana" w:hAnsi="Verdana"/>
        </w:rPr>
        <w:t xml:space="preserve">Es deber de las organizaciones solidarias vigiladas revisar periódicamente las etapas y elementos del SARC a fin de realizar los ajustes que consideren necesarios para su efectivo, eficiente y oportuno funcionamiento, de forma tal, que atiendan en todo momento las condiciones particulares de la organización solidaria, del mercado en el que opera y de la economía en general. </w:t>
      </w:r>
    </w:p>
    <w:p w14:paraId="36320316" w14:textId="277DF0BF" w:rsidR="003F5C96" w:rsidRPr="003F5C96" w:rsidRDefault="003F5C96" w:rsidP="003F5C96">
      <w:pPr>
        <w:jc w:val="both"/>
        <w:rPr>
          <w:rFonts w:ascii="Verdana" w:hAnsi="Verdana"/>
        </w:rPr>
      </w:pPr>
      <w:r w:rsidRPr="003F5C96">
        <w:rPr>
          <w:rFonts w:ascii="Verdana" w:hAnsi="Verdana"/>
        </w:rPr>
        <w:t>El SARC que adopten las organizaciones solidarias vigiladas está sujeto a la supervisión permanente e integral de la Superintendencia de la Economía Solidaria, en los términos previstos en el presente capítulo.</w:t>
      </w:r>
    </w:p>
    <w:p w14:paraId="2589A10F" w14:textId="79A8FA47" w:rsidR="003F5C96" w:rsidRPr="003F5C96" w:rsidRDefault="003F5C96" w:rsidP="003F5C96">
      <w:pPr>
        <w:jc w:val="both"/>
        <w:rPr>
          <w:rFonts w:ascii="Verdana" w:hAnsi="Verdana"/>
          <w:b/>
          <w:bCs/>
        </w:rPr>
      </w:pPr>
      <w:r w:rsidRPr="003F5C96">
        <w:rPr>
          <w:rFonts w:ascii="Verdana" w:hAnsi="Verdana"/>
          <w:b/>
          <w:bCs/>
        </w:rPr>
        <w:t>2. ÁMBITO DE APLICACIÓN DEL SARC</w:t>
      </w:r>
    </w:p>
    <w:p w14:paraId="0C83FC11" w14:textId="77777777" w:rsidR="003F5C96" w:rsidRPr="003F5C96" w:rsidRDefault="003F5C96" w:rsidP="003F5C96">
      <w:pPr>
        <w:jc w:val="both"/>
        <w:rPr>
          <w:rFonts w:ascii="Verdana" w:hAnsi="Verdana"/>
        </w:rPr>
      </w:pPr>
      <w:r w:rsidRPr="003F5C96">
        <w:rPr>
          <w:rFonts w:ascii="Verdana" w:hAnsi="Verdana"/>
        </w:rPr>
        <w:t xml:space="preserve">Las instrucciones contenidas en el presente capítulo deberán ser aplicadas por todas las organizaciones solidarias supervisadas, que tengan cartera de crédito, con el propósito de identificar, medir, controlar y monitorear el riesgo de crédito al cual se encuentran expuestas en el desarrollo de su proceso de crédito. </w:t>
      </w:r>
    </w:p>
    <w:p w14:paraId="6634B21D" w14:textId="001A5037" w:rsidR="003F5C96" w:rsidRPr="003F5C96" w:rsidRDefault="003F5C96" w:rsidP="003F5C96">
      <w:pPr>
        <w:jc w:val="both"/>
        <w:rPr>
          <w:rFonts w:ascii="Verdana" w:hAnsi="Verdana"/>
        </w:rPr>
      </w:pPr>
      <w:r w:rsidRPr="003F5C96">
        <w:rPr>
          <w:rFonts w:ascii="Verdana" w:hAnsi="Verdana"/>
        </w:rPr>
        <w:t>Los modelos de referencia para el cálculo de la pérdida esperada, mencionados en el numeral 5.3. de este capítulo, deben ser aplicados por las cooperativas de ahorro y crédito, multiactivas e integrales con sección de ahorro y crédito, los fondos de empleados de categoría plena y las asociaciones mutuales que presten los servicios de ahorro y crédito.</w:t>
      </w:r>
    </w:p>
    <w:p w14:paraId="0EA1F52E" w14:textId="77777777" w:rsidR="003F5C96" w:rsidRPr="003F5C96" w:rsidRDefault="003F5C96" w:rsidP="003F5C96">
      <w:pPr>
        <w:ind w:left="284"/>
        <w:jc w:val="both"/>
        <w:rPr>
          <w:rFonts w:ascii="Verdana" w:hAnsi="Verdana"/>
        </w:rPr>
      </w:pPr>
    </w:p>
    <w:p w14:paraId="764795BD" w14:textId="3E69C07D" w:rsidR="003F5C96" w:rsidRPr="003F5C96" w:rsidRDefault="003F5C96" w:rsidP="00785891">
      <w:pPr>
        <w:ind w:left="284"/>
        <w:jc w:val="both"/>
        <w:rPr>
          <w:rFonts w:ascii="Verdana" w:hAnsi="Verdana"/>
        </w:rPr>
      </w:pPr>
      <w:r w:rsidRPr="003F5C96">
        <w:rPr>
          <w:rFonts w:ascii="Verdana" w:hAnsi="Verdana"/>
        </w:rPr>
        <w:lastRenderedPageBreak/>
        <w:t xml:space="preserve">Las demás organizaciones solidarias vigiladas, deberán seguir calificando y constituyendo el deterioro por altura de mora con factor de riesgo, según las disposiciones contenidas en el </w:t>
      </w:r>
      <w:r w:rsidRPr="003F5C96">
        <w:rPr>
          <w:rFonts w:ascii="Verdana" w:hAnsi="Verdana"/>
          <w:b/>
          <w:bCs/>
        </w:rPr>
        <w:t>Anexo 1</w:t>
      </w:r>
      <w:r w:rsidRPr="003F5C96">
        <w:rPr>
          <w:rFonts w:ascii="Verdana" w:hAnsi="Verdana"/>
        </w:rPr>
        <w:t xml:space="preserve"> del presente capítulo.”</w:t>
      </w:r>
    </w:p>
    <w:p w14:paraId="7A0A58FC" w14:textId="7A04A771" w:rsidR="003F5C96" w:rsidRPr="003F5C96" w:rsidRDefault="003F5C96" w:rsidP="003F5C96">
      <w:pPr>
        <w:ind w:left="284"/>
        <w:jc w:val="both"/>
        <w:rPr>
          <w:rFonts w:ascii="Verdana" w:hAnsi="Verdana"/>
        </w:rPr>
      </w:pPr>
    </w:p>
    <w:p w14:paraId="1F988979" w14:textId="2052CAF7" w:rsidR="003F5C96" w:rsidRPr="003F5C96" w:rsidRDefault="003F5C96" w:rsidP="003F5C96">
      <w:pPr>
        <w:ind w:left="708"/>
        <w:jc w:val="both"/>
        <w:rPr>
          <w:rFonts w:ascii="Verdana" w:hAnsi="Verdana"/>
          <w:b/>
          <w:bCs/>
        </w:rPr>
      </w:pPr>
      <w:r w:rsidRPr="003F5C96">
        <w:rPr>
          <w:rFonts w:ascii="Verdana" w:hAnsi="Verdana"/>
          <w:b/>
          <w:bCs/>
        </w:rPr>
        <w:t xml:space="preserve">3. </w:t>
      </w:r>
      <w:r w:rsidRPr="003F5C96">
        <w:rPr>
          <w:rFonts w:ascii="Verdana" w:hAnsi="Verdana"/>
          <w:b/>
          <w:bCs/>
        </w:rPr>
        <w:tab/>
        <w:t>PRINCIPIOS Y CRITERIOS GENERALES PARA EL DESARROLLO Y APLICACIÓN DEL SISTEMA DE ADMINISTRACIÓN DEL RIESGO DE CRÉDITO – SARC</w:t>
      </w:r>
    </w:p>
    <w:p w14:paraId="0508BB77" w14:textId="5285A0F3" w:rsidR="003F5C96" w:rsidRPr="003F5C96" w:rsidRDefault="003F5C96" w:rsidP="003F5C96">
      <w:pPr>
        <w:ind w:left="284"/>
        <w:jc w:val="both"/>
        <w:rPr>
          <w:rFonts w:ascii="Verdana" w:hAnsi="Verdana"/>
          <w:b/>
          <w:bCs/>
        </w:rPr>
      </w:pPr>
    </w:p>
    <w:p w14:paraId="50227465" w14:textId="7FFD1EA7" w:rsidR="003F5C96" w:rsidRDefault="003F5C96" w:rsidP="003F5C96">
      <w:pPr>
        <w:jc w:val="both"/>
        <w:rPr>
          <w:rFonts w:ascii="Verdana" w:hAnsi="Verdana"/>
          <w:b/>
          <w:bCs/>
        </w:rPr>
      </w:pPr>
      <w:r w:rsidRPr="003F5C96">
        <w:rPr>
          <w:rFonts w:ascii="Verdana" w:hAnsi="Verdana"/>
          <w:b/>
          <w:bCs/>
        </w:rPr>
        <w:t xml:space="preserve">3.1. DEFINICIONES </w:t>
      </w:r>
    </w:p>
    <w:p w14:paraId="2C8DEAD9" w14:textId="77777777" w:rsidR="00785891" w:rsidRPr="003F5C96" w:rsidRDefault="00785891" w:rsidP="003F5C96">
      <w:pPr>
        <w:jc w:val="both"/>
        <w:rPr>
          <w:rFonts w:ascii="Verdana" w:hAnsi="Verdana"/>
          <w:b/>
          <w:bCs/>
        </w:rPr>
      </w:pPr>
    </w:p>
    <w:p w14:paraId="46185368" w14:textId="5B775C2D" w:rsidR="003F5C96" w:rsidRDefault="003F5C96" w:rsidP="003F5C96">
      <w:pPr>
        <w:jc w:val="both"/>
        <w:rPr>
          <w:rFonts w:ascii="Verdana" w:hAnsi="Verdana"/>
        </w:rPr>
      </w:pPr>
      <w:r w:rsidRPr="003F5C96">
        <w:rPr>
          <w:rFonts w:ascii="Verdana" w:hAnsi="Verdana"/>
        </w:rPr>
        <w:t>3.1.1. Riesgo de Crédito (RC) El riesgo crediticio es la probabilidad de que una organización solidaria incurra en pérdidas y disminuya el valor de sus activos como consecuencia del incumplimiento del pago de las obligaciones contractuales por parte de sus deudores o contraparte. Para propósitos de información, evaluación del RC, aplicación de normas contables y deterioros, entre otras, la cartera de créditos se debe clasificar en las siguientes modalidades:</w:t>
      </w:r>
    </w:p>
    <w:p w14:paraId="0D17FFEB" w14:textId="77777777" w:rsidR="00785891" w:rsidRPr="003F5C96" w:rsidRDefault="00785891" w:rsidP="003F5C96">
      <w:pPr>
        <w:jc w:val="both"/>
        <w:rPr>
          <w:rFonts w:ascii="Verdana" w:hAnsi="Verdana"/>
        </w:rPr>
      </w:pPr>
    </w:p>
    <w:p w14:paraId="6C40AFA9" w14:textId="6CC19E7A" w:rsidR="003F5C96" w:rsidRDefault="003F5C96" w:rsidP="003F5C96">
      <w:pPr>
        <w:jc w:val="both"/>
        <w:rPr>
          <w:rFonts w:ascii="Verdana" w:hAnsi="Verdana"/>
          <w:b/>
          <w:bCs/>
        </w:rPr>
      </w:pPr>
      <w:r w:rsidRPr="003F5C96">
        <w:rPr>
          <w:rFonts w:ascii="Verdana" w:hAnsi="Verdana"/>
          <w:b/>
          <w:bCs/>
        </w:rPr>
        <w:t xml:space="preserve">3.1.2. Crédito de consumo </w:t>
      </w:r>
    </w:p>
    <w:p w14:paraId="5AE9B2CB" w14:textId="77777777" w:rsidR="00785891" w:rsidRPr="003F5C96" w:rsidRDefault="00785891" w:rsidP="003F5C96">
      <w:pPr>
        <w:jc w:val="both"/>
        <w:rPr>
          <w:rFonts w:ascii="Verdana" w:hAnsi="Verdana"/>
          <w:b/>
          <w:bCs/>
        </w:rPr>
      </w:pPr>
    </w:p>
    <w:p w14:paraId="51234065" w14:textId="012D39C2" w:rsidR="003F5C96" w:rsidRDefault="003F5C96" w:rsidP="003F5C96">
      <w:pPr>
        <w:jc w:val="both"/>
        <w:rPr>
          <w:rFonts w:ascii="Verdana" w:hAnsi="Verdana"/>
        </w:rPr>
        <w:sectPr w:rsidR="003F5C96" w:rsidSect="00FD1E67">
          <w:headerReference w:type="default" r:id="rId7"/>
          <w:footerReference w:type="default" r:id="rId8"/>
          <w:footnotePr>
            <w:numStart w:val="47"/>
          </w:footnotePr>
          <w:pgSz w:w="12240" w:h="15840"/>
          <w:pgMar w:top="2668" w:right="1701" w:bottom="1417" w:left="1701" w:header="708" w:footer="708" w:gutter="0"/>
          <w:cols w:space="708"/>
          <w:docGrid w:linePitch="360"/>
        </w:sectPr>
      </w:pPr>
      <w:r w:rsidRPr="003F5C96">
        <w:rPr>
          <w:rFonts w:ascii="Verdana" w:hAnsi="Verdana"/>
        </w:rPr>
        <w:t>Se entiende por créditos de consumo, independientemente de su monto, los otorgados a personas naturales para financiar la adquisición de bienes de consumo o el pago de servicios para fines no comerciales o empresariales, incluyendo las efectuadas por medio de sistemas de tarjetas de crédito, en ambos casos, independientemente de su monto.</w:t>
      </w:r>
      <w:r>
        <w:rPr>
          <w:rStyle w:val="Refdenotaalpie"/>
          <w:rFonts w:ascii="Verdana" w:hAnsi="Verdana"/>
        </w:rPr>
        <w:footnoteReference w:id="1"/>
      </w:r>
    </w:p>
    <w:p w14:paraId="60302002" w14:textId="3148DF25" w:rsidR="00FD1E67" w:rsidRPr="003F5C96" w:rsidRDefault="00FD1E67" w:rsidP="00FD1E67">
      <w:pPr>
        <w:pStyle w:val="Encabezado"/>
        <w:jc w:val="center"/>
        <w:rPr>
          <w:rFonts w:ascii="Verdana" w:hAnsi="Verdana" w:cs="Arial"/>
          <w:b/>
          <w:bCs/>
        </w:rPr>
      </w:pPr>
    </w:p>
    <w:p w14:paraId="528797FD" w14:textId="29C5F3B7" w:rsidR="00FD1E67" w:rsidRPr="003F5C96" w:rsidRDefault="00FD1E67" w:rsidP="003F5C96">
      <w:pPr>
        <w:tabs>
          <w:tab w:val="left" w:pos="4678"/>
        </w:tabs>
        <w:spacing w:after="0"/>
        <w:jc w:val="center"/>
        <w:rPr>
          <w:rFonts w:ascii="Verdana" w:hAnsi="Verdana" w:cs="Arial"/>
        </w:rPr>
      </w:pPr>
    </w:p>
    <w:sectPr w:rsidR="00FD1E67" w:rsidRPr="003F5C96" w:rsidSect="003F5C96">
      <w:type w:val="continuous"/>
      <w:pgSz w:w="12240" w:h="15840"/>
      <w:pgMar w:top="26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D4604" w14:textId="77777777" w:rsidR="00D765E0" w:rsidRDefault="00D765E0" w:rsidP="00FD1E67">
      <w:pPr>
        <w:spacing w:after="0" w:line="240" w:lineRule="auto"/>
      </w:pPr>
      <w:r>
        <w:separator/>
      </w:r>
    </w:p>
  </w:endnote>
  <w:endnote w:type="continuationSeparator" w:id="0">
    <w:p w14:paraId="01933FE9" w14:textId="77777777" w:rsidR="00D765E0" w:rsidRDefault="00D765E0" w:rsidP="00FD1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8064" w14:textId="6CAFDB3F" w:rsidR="00404E66" w:rsidRPr="00404E66" w:rsidRDefault="003F5C96" w:rsidP="00404E66">
    <w:pPr>
      <w:pStyle w:val="Piedepgina"/>
      <w:jc w:val="right"/>
      <w:rPr>
        <w:rFonts w:ascii="Arial" w:hAnsi="Arial" w:cs="Arial"/>
        <w:lang w:val="es-MX"/>
      </w:rPr>
    </w:pPr>
    <w:r>
      <w:rPr>
        <w:rFonts w:ascii="Arial" w:hAnsi="Arial" w:cs="Arial"/>
        <w:lang w:val="es-MX"/>
      </w:rPr>
      <w:t>158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BE9BA" w14:textId="77777777" w:rsidR="00D765E0" w:rsidRDefault="00D765E0" w:rsidP="00FD1E67">
      <w:pPr>
        <w:spacing w:after="0" w:line="240" w:lineRule="auto"/>
      </w:pPr>
      <w:r>
        <w:separator/>
      </w:r>
    </w:p>
  </w:footnote>
  <w:footnote w:type="continuationSeparator" w:id="0">
    <w:p w14:paraId="00C08E5A" w14:textId="77777777" w:rsidR="00D765E0" w:rsidRDefault="00D765E0" w:rsidP="00FD1E67">
      <w:pPr>
        <w:spacing w:after="0" w:line="240" w:lineRule="auto"/>
      </w:pPr>
      <w:r>
        <w:continuationSeparator/>
      </w:r>
    </w:p>
  </w:footnote>
  <w:footnote w:id="1">
    <w:p w14:paraId="4BA802A6" w14:textId="77777777" w:rsidR="00785891" w:rsidRPr="003F5C96" w:rsidRDefault="00785891" w:rsidP="00785891">
      <w:pPr>
        <w:jc w:val="both"/>
        <w:rPr>
          <w:rFonts w:ascii="Verdana" w:hAnsi="Verdana"/>
          <w:b/>
          <w:bCs/>
          <w:sz w:val="16"/>
          <w:szCs w:val="16"/>
        </w:rPr>
      </w:pPr>
      <w:r>
        <w:rPr>
          <w:rStyle w:val="Refdenotaalpie"/>
        </w:rPr>
        <w:footnoteRef/>
      </w:r>
      <w:r w:rsidRPr="003F5C96">
        <w:rPr>
          <w:rFonts w:ascii="Verdana" w:hAnsi="Verdana"/>
          <w:sz w:val="16"/>
          <w:szCs w:val="16"/>
        </w:rPr>
        <w:t>Nota: numeral 3.1.2. del Capítulo II, Título IV, modificado por la Circular Externa No. 49 del 14 de junio de 2023, Modificación del Formulario Oficial de Rendición de Cuentas y de algunos lineamientos impartidos en el Capítulo II del Título IV de la Circular Básica Contable y Financiera, publicada en el Diario Oficial No. 52.426 del 14 de junio de 2023.</w:t>
      </w:r>
    </w:p>
    <w:p w14:paraId="35F72722" w14:textId="077A7592" w:rsidR="003F5C96" w:rsidRDefault="003F5C96">
      <w:pPr>
        <w:pStyle w:val="Textonotapie"/>
        <w:rPr>
          <w:rFonts w:ascii="Verdana" w:hAnsi="Verdana"/>
          <w:sz w:val="16"/>
          <w:szCs w:val="16"/>
        </w:rPr>
      </w:pPr>
    </w:p>
    <w:p w14:paraId="44E034C3" w14:textId="77777777" w:rsidR="003F5C96" w:rsidRPr="003F5C96" w:rsidRDefault="003F5C96">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AD7E" w14:textId="599DD7B3" w:rsidR="00FD1E67" w:rsidRDefault="00FD1E67">
    <w:pPr>
      <w:pStyle w:val="Encabezado"/>
    </w:pPr>
    <w:r>
      <w:rPr>
        <w:noProof/>
        <w:lang w:eastAsia="es-CO"/>
      </w:rPr>
      <w:drawing>
        <wp:anchor distT="0" distB="0" distL="114300" distR="114300" simplePos="0" relativeHeight="251659264" behindDoc="0" locked="0" layoutInCell="1" allowOverlap="1" wp14:anchorId="1768DF19" wp14:editId="40D28EAA">
          <wp:simplePos x="0" y="0"/>
          <wp:positionH relativeFrom="margin">
            <wp:align>center</wp:align>
          </wp:positionH>
          <wp:positionV relativeFrom="paragraph">
            <wp:posOffset>-153035</wp:posOffset>
          </wp:positionV>
          <wp:extent cx="2161540" cy="970915"/>
          <wp:effectExtent l="0" t="0" r="0" b="635"/>
          <wp:wrapThrough wrapText="bothSides">
            <wp:wrapPolygon edited="0">
              <wp:start x="0" y="0"/>
              <wp:lineTo x="0" y="21190"/>
              <wp:lineTo x="21321" y="21190"/>
              <wp:lineTo x="21321" y="0"/>
              <wp:lineTo x="0" y="0"/>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61540" cy="970915"/>
                  </a:xfrm>
                  <a:prstGeom prst="rect">
                    <a:avLst/>
                  </a:prstGeom>
                </pic:spPr>
              </pic:pic>
            </a:graphicData>
          </a:graphic>
        </wp:anchor>
      </w:drawing>
    </w:r>
  </w:p>
  <w:p w14:paraId="65912B2E" w14:textId="0E721F9B" w:rsidR="00FD1E67" w:rsidRDefault="00FD1E67">
    <w:pPr>
      <w:pStyle w:val="Encabezado"/>
    </w:pPr>
  </w:p>
  <w:p w14:paraId="4B33440A" w14:textId="08C61F75" w:rsidR="00FD1E67" w:rsidRDefault="00FD1E67">
    <w:pPr>
      <w:pStyle w:val="Encabezado"/>
    </w:pPr>
  </w:p>
  <w:p w14:paraId="33B18D97" w14:textId="3D91BBA3" w:rsidR="00FD1E67" w:rsidRDefault="00FD1E67">
    <w:pPr>
      <w:pStyle w:val="Encabezado"/>
    </w:pPr>
  </w:p>
  <w:p w14:paraId="1AD837A1" w14:textId="73DAE60A" w:rsidR="00FD1E67" w:rsidRDefault="00FD1E67">
    <w:pPr>
      <w:pStyle w:val="Encabezado"/>
    </w:pPr>
  </w:p>
  <w:p w14:paraId="48C131C0" w14:textId="77777777" w:rsidR="00FD1E67" w:rsidRDefault="00FD1E67" w:rsidP="00FD1E67">
    <w:pPr>
      <w:pStyle w:val="Encabezado"/>
      <w:rPr>
        <w:rFonts w:ascii="Arial" w:hAnsi="Arial" w:cs="Arial"/>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numStart w:val="47"/>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67"/>
    <w:rsid w:val="003762F2"/>
    <w:rsid w:val="003F5C96"/>
    <w:rsid w:val="00404E66"/>
    <w:rsid w:val="00541336"/>
    <w:rsid w:val="00667009"/>
    <w:rsid w:val="00785891"/>
    <w:rsid w:val="00874611"/>
    <w:rsid w:val="009A332E"/>
    <w:rsid w:val="00B45AFC"/>
    <w:rsid w:val="00B52F5B"/>
    <w:rsid w:val="00B545AE"/>
    <w:rsid w:val="00D765E0"/>
    <w:rsid w:val="00FD1E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D7866"/>
  <w15:chartTrackingRefBased/>
  <w15:docId w15:val="{E401EB86-4ADC-4A31-AA0D-8A2A55CD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1E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1E67"/>
  </w:style>
  <w:style w:type="paragraph" w:styleId="Piedepgina">
    <w:name w:val="footer"/>
    <w:basedOn w:val="Normal"/>
    <w:link w:val="PiedepginaCar"/>
    <w:uiPriority w:val="99"/>
    <w:unhideWhenUsed/>
    <w:rsid w:val="00FD1E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1E67"/>
  </w:style>
  <w:style w:type="paragraph" w:styleId="Textonotapie">
    <w:name w:val="footnote text"/>
    <w:basedOn w:val="Normal"/>
    <w:link w:val="TextonotapieCar"/>
    <w:uiPriority w:val="99"/>
    <w:semiHidden/>
    <w:unhideWhenUsed/>
    <w:rsid w:val="003F5C9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5C96"/>
    <w:rPr>
      <w:sz w:val="20"/>
      <w:szCs w:val="20"/>
    </w:rPr>
  </w:style>
  <w:style w:type="character" w:styleId="Refdenotaalpie">
    <w:name w:val="footnote reference"/>
    <w:basedOn w:val="Fuentedeprrafopredeter"/>
    <w:uiPriority w:val="99"/>
    <w:semiHidden/>
    <w:unhideWhenUsed/>
    <w:rsid w:val="003F5C96"/>
    <w:rPr>
      <w:vertAlign w:val="superscript"/>
    </w:rPr>
  </w:style>
  <w:style w:type="paragraph" w:styleId="Textonotaalfinal">
    <w:name w:val="endnote text"/>
    <w:basedOn w:val="Normal"/>
    <w:link w:val="TextonotaalfinalCar"/>
    <w:uiPriority w:val="99"/>
    <w:semiHidden/>
    <w:unhideWhenUsed/>
    <w:rsid w:val="003F5C9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5C96"/>
    <w:rPr>
      <w:sz w:val="20"/>
      <w:szCs w:val="20"/>
    </w:rPr>
  </w:style>
  <w:style w:type="character" w:styleId="Refdenotaalfinal">
    <w:name w:val="endnote reference"/>
    <w:basedOn w:val="Fuentedeprrafopredeter"/>
    <w:uiPriority w:val="99"/>
    <w:semiHidden/>
    <w:unhideWhenUsed/>
    <w:rsid w:val="003F5C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268829">
      <w:bodyDiv w:val="1"/>
      <w:marLeft w:val="0"/>
      <w:marRight w:val="0"/>
      <w:marTop w:val="0"/>
      <w:marBottom w:val="0"/>
      <w:divBdr>
        <w:top w:val="none" w:sz="0" w:space="0" w:color="auto"/>
        <w:left w:val="none" w:sz="0" w:space="0" w:color="auto"/>
        <w:bottom w:val="none" w:sz="0" w:space="0" w:color="auto"/>
        <w:right w:val="none" w:sz="0" w:space="0" w:color="auto"/>
      </w:divBdr>
    </w:div>
    <w:div w:id="457139129">
      <w:bodyDiv w:val="1"/>
      <w:marLeft w:val="0"/>
      <w:marRight w:val="0"/>
      <w:marTop w:val="0"/>
      <w:marBottom w:val="0"/>
      <w:divBdr>
        <w:top w:val="none" w:sz="0" w:space="0" w:color="auto"/>
        <w:left w:val="none" w:sz="0" w:space="0" w:color="auto"/>
        <w:bottom w:val="none" w:sz="0" w:space="0" w:color="auto"/>
        <w:right w:val="none" w:sz="0" w:space="0" w:color="auto"/>
      </w:divBdr>
    </w:div>
    <w:div w:id="595288311">
      <w:bodyDiv w:val="1"/>
      <w:marLeft w:val="0"/>
      <w:marRight w:val="0"/>
      <w:marTop w:val="0"/>
      <w:marBottom w:val="0"/>
      <w:divBdr>
        <w:top w:val="none" w:sz="0" w:space="0" w:color="auto"/>
        <w:left w:val="none" w:sz="0" w:space="0" w:color="auto"/>
        <w:bottom w:val="none" w:sz="0" w:space="0" w:color="auto"/>
        <w:right w:val="none" w:sz="0" w:space="0" w:color="auto"/>
      </w:divBdr>
    </w:div>
    <w:div w:id="966936856">
      <w:bodyDiv w:val="1"/>
      <w:marLeft w:val="0"/>
      <w:marRight w:val="0"/>
      <w:marTop w:val="0"/>
      <w:marBottom w:val="0"/>
      <w:divBdr>
        <w:top w:val="none" w:sz="0" w:space="0" w:color="auto"/>
        <w:left w:val="none" w:sz="0" w:space="0" w:color="auto"/>
        <w:bottom w:val="none" w:sz="0" w:space="0" w:color="auto"/>
        <w:right w:val="none" w:sz="0" w:space="0" w:color="auto"/>
      </w:divBdr>
    </w:div>
    <w:div w:id="987516286">
      <w:bodyDiv w:val="1"/>
      <w:marLeft w:val="0"/>
      <w:marRight w:val="0"/>
      <w:marTop w:val="0"/>
      <w:marBottom w:val="0"/>
      <w:divBdr>
        <w:top w:val="none" w:sz="0" w:space="0" w:color="auto"/>
        <w:left w:val="none" w:sz="0" w:space="0" w:color="auto"/>
        <w:bottom w:val="none" w:sz="0" w:space="0" w:color="auto"/>
        <w:right w:val="none" w:sz="0" w:space="0" w:color="auto"/>
      </w:divBdr>
    </w:div>
    <w:div w:id="1346126237">
      <w:bodyDiv w:val="1"/>
      <w:marLeft w:val="0"/>
      <w:marRight w:val="0"/>
      <w:marTop w:val="0"/>
      <w:marBottom w:val="0"/>
      <w:divBdr>
        <w:top w:val="none" w:sz="0" w:space="0" w:color="auto"/>
        <w:left w:val="none" w:sz="0" w:space="0" w:color="auto"/>
        <w:bottom w:val="none" w:sz="0" w:space="0" w:color="auto"/>
        <w:right w:val="none" w:sz="0" w:space="0" w:color="auto"/>
      </w:divBdr>
    </w:div>
    <w:div w:id="1747455836">
      <w:bodyDiv w:val="1"/>
      <w:marLeft w:val="0"/>
      <w:marRight w:val="0"/>
      <w:marTop w:val="0"/>
      <w:marBottom w:val="0"/>
      <w:divBdr>
        <w:top w:val="none" w:sz="0" w:space="0" w:color="auto"/>
        <w:left w:val="none" w:sz="0" w:space="0" w:color="auto"/>
        <w:bottom w:val="none" w:sz="0" w:space="0" w:color="auto"/>
        <w:right w:val="none" w:sz="0" w:space="0" w:color="auto"/>
      </w:divBdr>
    </w:div>
    <w:div w:id="210117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CC7AB-325F-4F15-85EB-0F5E033B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3113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Patricia Cabrera Erazo</dc:creator>
  <cp:keywords/>
  <dc:description/>
  <cp:lastModifiedBy>Marelvi Hortensia Bernal Nempeque</cp:lastModifiedBy>
  <cp:revision>2</cp:revision>
  <dcterms:created xsi:type="dcterms:W3CDTF">2026-04-10T03:03:00Z</dcterms:created>
  <dcterms:modified xsi:type="dcterms:W3CDTF">2026-04-10T03:03:00Z</dcterms:modified>
</cp:coreProperties>
</file>