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EBF7F9"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Por mandato constitucional y legal, corresponde al Presidente de la República, ejercer por conducto de la Superintendencia de la Economía Solidaria, las funciones de inspección, vigilancia y control de las cooperativas y de las empresas de la economía solidaria, que no se encuentren bajo la supervisión especializada del Estado. </w:t>
      </w:r>
    </w:p>
    <w:p w14:paraId="2F94C8F9" w14:textId="77777777" w:rsidR="000F2D06" w:rsidRPr="000F2D06" w:rsidRDefault="000F2D06" w:rsidP="000F2D06">
      <w:pPr>
        <w:jc w:val="both"/>
        <w:rPr>
          <w:rFonts w:ascii="Verdana" w:hAnsi="Verdana"/>
          <w:i w:val="0"/>
          <w:iCs/>
          <w:sz w:val="22"/>
          <w:szCs w:val="22"/>
        </w:rPr>
      </w:pPr>
    </w:p>
    <w:p w14:paraId="5335B064" w14:textId="02705B2C" w:rsidR="000F2D06" w:rsidRPr="000F2D06" w:rsidRDefault="00FC03F5" w:rsidP="000F2D06">
      <w:pPr>
        <w:jc w:val="both"/>
        <w:rPr>
          <w:rFonts w:ascii="Verdana" w:hAnsi="Verdana"/>
          <w:i w:val="0"/>
          <w:iCs/>
          <w:sz w:val="22"/>
          <w:szCs w:val="22"/>
        </w:rPr>
      </w:pPr>
      <w:r>
        <w:rPr>
          <w:rFonts w:ascii="Verdana" w:hAnsi="Verdana"/>
          <w:i w:val="0"/>
          <w:iCs/>
          <w:sz w:val="22"/>
          <w:szCs w:val="22"/>
        </w:rPr>
        <w:t>En desarrollo de ello l</w:t>
      </w:r>
      <w:r w:rsidRPr="00FC03F5">
        <w:rPr>
          <w:rFonts w:ascii="Verdana" w:hAnsi="Verdana"/>
          <w:i w:val="0"/>
          <w:iCs/>
          <w:sz w:val="22"/>
          <w:szCs w:val="22"/>
        </w:rPr>
        <w:t>a Superintendencia de la Economía Solidaria, en cumplimiento de la función establecida en el numeral 22 del artículo 36 de la Ley 454 de 1998, dispuso a través del Título IV sobre el Sistema de Administración de Riesgos – SIAR de la Circular Básica Contable y Financiera, y específicamente en el Anexo 2 del Capítulo II</w:t>
      </w:r>
      <w:r w:rsidR="000C754E">
        <w:rPr>
          <w:rFonts w:ascii="Verdana" w:hAnsi="Verdana"/>
          <w:i w:val="0"/>
          <w:iCs/>
          <w:sz w:val="22"/>
          <w:szCs w:val="22"/>
        </w:rPr>
        <w:t>,</w:t>
      </w:r>
      <w:r w:rsidRPr="00FC03F5">
        <w:rPr>
          <w:rFonts w:ascii="Verdana" w:hAnsi="Verdana"/>
          <w:i w:val="0"/>
          <w:iCs/>
          <w:sz w:val="22"/>
          <w:szCs w:val="22"/>
        </w:rPr>
        <w:t xml:space="preserve"> relativo al Sistema de Administración del Riesgo de Crédito – SARC, la aplicación de un modelo de referencia para la estimación de las pérdidas esperadas de la cartera de consumo con libranza, cartera de consumo sin libranza y la cartera comercial – persona natural de las organizaciones supervisadas, estableciendo que </w:t>
      </w:r>
      <w:r w:rsidRPr="00FC03F5">
        <w:rPr>
          <w:rFonts w:ascii="Verdana" w:hAnsi="Verdana"/>
          <w:i w:val="0"/>
          <w:iCs/>
          <w:sz w:val="22"/>
          <w:szCs w:val="22"/>
        </w:rPr>
        <w:lastRenderedPageBreak/>
        <w:t>su aplicación se efectúa de acuerdo con el cronograma que para tal efecto defina la Superintendencia.</w:t>
      </w:r>
    </w:p>
    <w:p w14:paraId="5B8A4A53" w14:textId="77777777" w:rsidR="00FC03F5" w:rsidRDefault="00FC03F5" w:rsidP="000F2D06">
      <w:pPr>
        <w:jc w:val="both"/>
        <w:rPr>
          <w:rFonts w:ascii="Verdana" w:hAnsi="Verdana"/>
          <w:i w:val="0"/>
          <w:iCs/>
          <w:sz w:val="22"/>
          <w:szCs w:val="22"/>
        </w:rPr>
      </w:pPr>
    </w:p>
    <w:p w14:paraId="1A4109CD" w14:textId="46FDFE88" w:rsidR="00FC03F5" w:rsidRDefault="00FC03F5" w:rsidP="00FC03F5">
      <w:pPr>
        <w:jc w:val="both"/>
        <w:rPr>
          <w:rFonts w:ascii="Verdana" w:hAnsi="Verdana"/>
          <w:i w:val="0"/>
          <w:iCs/>
          <w:sz w:val="22"/>
          <w:szCs w:val="22"/>
        </w:rPr>
      </w:pPr>
      <w:r>
        <w:rPr>
          <w:rFonts w:ascii="Verdana" w:hAnsi="Verdana"/>
          <w:i w:val="0"/>
          <w:iCs/>
          <w:sz w:val="22"/>
          <w:szCs w:val="22"/>
        </w:rPr>
        <w:t xml:space="preserve">No obstante, </w:t>
      </w:r>
      <w:r w:rsidR="00381DBD">
        <w:rPr>
          <w:rFonts w:ascii="Verdana" w:hAnsi="Verdana"/>
          <w:i w:val="0"/>
          <w:iCs/>
          <w:sz w:val="22"/>
          <w:szCs w:val="22"/>
        </w:rPr>
        <w:t>esta</w:t>
      </w:r>
      <w:r>
        <w:rPr>
          <w:rFonts w:ascii="Verdana" w:hAnsi="Verdana"/>
          <w:i w:val="0"/>
          <w:iCs/>
          <w:sz w:val="22"/>
          <w:szCs w:val="22"/>
        </w:rPr>
        <w:t>s instrucciones para gestionar el riesgo de crédito</w:t>
      </w:r>
      <w:r w:rsidR="00381DBD">
        <w:rPr>
          <w:rFonts w:ascii="Verdana" w:hAnsi="Verdana"/>
          <w:i w:val="0"/>
          <w:iCs/>
          <w:sz w:val="22"/>
          <w:szCs w:val="22"/>
        </w:rPr>
        <w:t>,</w:t>
      </w:r>
      <w:r>
        <w:rPr>
          <w:rFonts w:ascii="Verdana" w:hAnsi="Verdana"/>
          <w:i w:val="0"/>
          <w:iCs/>
          <w:sz w:val="22"/>
          <w:szCs w:val="22"/>
        </w:rPr>
        <w:t xml:space="preserve"> </w:t>
      </w:r>
      <w:r w:rsidR="00381DBD">
        <w:rPr>
          <w:rFonts w:ascii="Verdana" w:hAnsi="Verdana"/>
          <w:i w:val="0"/>
          <w:iCs/>
          <w:sz w:val="22"/>
          <w:szCs w:val="22"/>
        </w:rPr>
        <w:t>fueron</w:t>
      </w:r>
      <w:r>
        <w:rPr>
          <w:rFonts w:ascii="Verdana" w:hAnsi="Verdana"/>
          <w:i w:val="0"/>
          <w:iCs/>
          <w:sz w:val="22"/>
          <w:szCs w:val="22"/>
        </w:rPr>
        <w:t xml:space="preserve"> modificadas </w:t>
      </w:r>
      <w:r w:rsidR="00381DBD" w:rsidRPr="00381DBD">
        <w:rPr>
          <w:rFonts w:ascii="Verdana" w:hAnsi="Verdana"/>
          <w:i w:val="0"/>
          <w:iCs/>
          <w:sz w:val="22"/>
          <w:szCs w:val="22"/>
        </w:rPr>
        <w:t>a través de la Circular Externa No. 68 del</w:t>
      </w:r>
      <w:r w:rsidR="00381DBD">
        <w:rPr>
          <w:rFonts w:ascii="Verdana" w:hAnsi="Verdana"/>
          <w:i w:val="0"/>
          <w:iCs/>
          <w:sz w:val="22"/>
          <w:szCs w:val="22"/>
        </w:rPr>
        <w:t xml:space="preserve"> </w:t>
      </w:r>
      <w:r w:rsidR="00381DBD" w:rsidRPr="00381DBD">
        <w:rPr>
          <w:rFonts w:ascii="Verdana" w:hAnsi="Verdana"/>
          <w:i w:val="0"/>
          <w:iCs/>
          <w:sz w:val="22"/>
          <w:szCs w:val="22"/>
        </w:rPr>
        <w:t>24 de julio de 2024</w:t>
      </w:r>
      <w:r w:rsidR="00381DBD">
        <w:rPr>
          <w:rFonts w:ascii="Verdana" w:hAnsi="Verdana"/>
          <w:i w:val="0"/>
          <w:iCs/>
          <w:sz w:val="22"/>
          <w:szCs w:val="22"/>
        </w:rPr>
        <w:t xml:space="preserve"> y de la </w:t>
      </w:r>
      <w:r w:rsidR="00381DBD" w:rsidRPr="00381DBD">
        <w:rPr>
          <w:rFonts w:ascii="Verdana" w:hAnsi="Verdana"/>
          <w:i w:val="0"/>
          <w:iCs/>
          <w:sz w:val="22"/>
          <w:szCs w:val="22"/>
        </w:rPr>
        <w:t xml:space="preserve"> Circular Externa No. </w:t>
      </w:r>
      <w:r w:rsidR="00381DBD">
        <w:rPr>
          <w:rFonts w:ascii="Verdana" w:hAnsi="Verdana"/>
          <w:i w:val="0"/>
          <w:iCs/>
          <w:sz w:val="22"/>
          <w:szCs w:val="22"/>
        </w:rPr>
        <w:t>93</w:t>
      </w:r>
      <w:r w:rsidR="00381DBD" w:rsidRPr="00381DBD">
        <w:rPr>
          <w:rFonts w:ascii="Verdana" w:hAnsi="Verdana"/>
          <w:i w:val="0"/>
          <w:iCs/>
          <w:sz w:val="22"/>
          <w:szCs w:val="22"/>
        </w:rPr>
        <w:t xml:space="preserve"> del</w:t>
      </w:r>
      <w:r w:rsidR="00381DBD">
        <w:rPr>
          <w:rFonts w:ascii="Verdana" w:hAnsi="Verdana"/>
          <w:i w:val="0"/>
          <w:iCs/>
          <w:sz w:val="22"/>
          <w:szCs w:val="22"/>
        </w:rPr>
        <w:t xml:space="preserve"> 18</w:t>
      </w:r>
      <w:r w:rsidR="00381DBD" w:rsidRPr="00381DBD">
        <w:rPr>
          <w:rFonts w:ascii="Verdana" w:hAnsi="Verdana"/>
          <w:i w:val="0"/>
          <w:iCs/>
          <w:sz w:val="22"/>
          <w:szCs w:val="22"/>
        </w:rPr>
        <w:t xml:space="preserve"> de </w:t>
      </w:r>
      <w:r w:rsidR="00381DBD">
        <w:rPr>
          <w:rFonts w:ascii="Verdana" w:hAnsi="Verdana"/>
          <w:i w:val="0"/>
          <w:iCs/>
          <w:sz w:val="22"/>
          <w:szCs w:val="22"/>
        </w:rPr>
        <w:t xml:space="preserve">noviembre </w:t>
      </w:r>
      <w:r w:rsidR="00381DBD" w:rsidRPr="00381DBD">
        <w:rPr>
          <w:rFonts w:ascii="Verdana" w:hAnsi="Verdana"/>
          <w:i w:val="0"/>
          <w:iCs/>
          <w:sz w:val="22"/>
          <w:szCs w:val="22"/>
        </w:rPr>
        <w:t>de 202</w:t>
      </w:r>
      <w:r w:rsidR="00381DBD">
        <w:rPr>
          <w:rFonts w:ascii="Verdana" w:hAnsi="Verdana"/>
          <w:i w:val="0"/>
          <w:iCs/>
          <w:sz w:val="22"/>
          <w:szCs w:val="22"/>
        </w:rPr>
        <w:t xml:space="preserve">5, </w:t>
      </w:r>
      <w:r>
        <w:rPr>
          <w:rFonts w:ascii="Verdana" w:hAnsi="Verdana"/>
          <w:i w:val="0"/>
          <w:iCs/>
          <w:sz w:val="22"/>
          <w:szCs w:val="22"/>
        </w:rPr>
        <w:t xml:space="preserve">como consecuencia de la </w:t>
      </w:r>
      <w:r w:rsidRPr="00FC03F5">
        <w:rPr>
          <w:rFonts w:ascii="Verdana" w:hAnsi="Verdana"/>
          <w:i w:val="0"/>
          <w:iCs/>
          <w:sz w:val="22"/>
          <w:szCs w:val="22"/>
        </w:rPr>
        <w:t xml:space="preserve">retroalimentación </w:t>
      </w:r>
      <w:r>
        <w:rPr>
          <w:rFonts w:ascii="Verdana" w:hAnsi="Verdana"/>
          <w:i w:val="0"/>
          <w:iCs/>
          <w:sz w:val="22"/>
          <w:szCs w:val="22"/>
        </w:rPr>
        <w:t xml:space="preserve">recibida </w:t>
      </w:r>
      <w:r w:rsidR="00381DBD">
        <w:rPr>
          <w:rFonts w:ascii="Verdana" w:hAnsi="Verdana"/>
          <w:i w:val="0"/>
          <w:iCs/>
          <w:sz w:val="22"/>
          <w:szCs w:val="22"/>
        </w:rPr>
        <w:t xml:space="preserve">por parte </w:t>
      </w:r>
      <w:r w:rsidRPr="00FC03F5">
        <w:rPr>
          <w:rFonts w:ascii="Verdana" w:hAnsi="Verdana"/>
          <w:i w:val="0"/>
          <w:iCs/>
          <w:sz w:val="22"/>
          <w:szCs w:val="22"/>
        </w:rPr>
        <w:t xml:space="preserve">de las </w:t>
      </w:r>
      <w:r w:rsidR="00BD64CC">
        <w:rPr>
          <w:rFonts w:ascii="Verdana" w:hAnsi="Verdana"/>
          <w:i w:val="0"/>
          <w:iCs/>
          <w:sz w:val="22"/>
          <w:szCs w:val="22"/>
        </w:rPr>
        <w:t xml:space="preserve">entidades </w:t>
      </w:r>
      <w:r w:rsidRPr="00FC03F5">
        <w:rPr>
          <w:rFonts w:ascii="Verdana" w:hAnsi="Verdana"/>
          <w:i w:val="0"/>
          <w:iCs/>
          <w:sz w:val="22"/>
          <w:szCs w:val="22"/>
        </w:rPr>
        <w:t>supervisadas</w:t>
      </w:r>
      <w:r w:rsidR="00381DBD">
        <w:rPr>
          <w:rFonts w:ascii="Verdana" w:hAnsi="Verdana"/>
          <w:i w:val="0"/>
          <w:iCs/>
          <w:sz w:val="22"/>
          <w:szCs w:val="22"/>
        </w:rPr>
        <w:t>,</w:t>
      </w:r>
      <w:r w:rsidRPr="00FC03F5">
        <w:rPr>
          <w:rFonts w:ascii="Verdana" w:hAnsi="Verdana"/>
          <w:i w:val="0"/>
          <w:iCs/>
          <w:sz w:val="22"/>
          <w:szCs w:val="22"/>
        </w:rPr>
        <w:t xml:space="preserve"> </w:t>
      </w:r>
      <w:r>
        <w:rPr>
          <w:rFonts w:ascii="Verdana" w:hAnsi="Verdana"/>
          <w:i w:val="0"/>
          <w:iCs/>
          <w:sz w:val="22"/>
          <w:szCs w:val="22"/>
        </w:rPr>
        <w:t xml:space="preserve">con base en </w:t>
      </w:r>
      <w:r w:rsidRPr="00FC03F5">
        <w:rPr>
          <w:rFonts w:ascii="Verdana" w:hAnsi="Verdana"/>
          <w:i w:val="0"/>
          <w:iCs/>
          <w:sz w:val="22"/>
          <w:szCs w:val="22"/>
        </w:rPr>
        <w:t xml:space="preserve">la experiencia </w:t>
      </w:r>
      <w:r w:rsidR="00BD64CC">
        <w:rPr>
          <w:rFonts w:ascii="Verdana" w:hAnsi="Verdana"/>
          <w:i w:val="0"/>
          <w:iCs/>
          <w:sz w:val="22"/>
          <w:szCs w:val="22"/>
        </w:rPr>
        <w:t>en</w:t>
      </w:r>
      <w:r w:rsidRPr="00FC03F5">
        <w:rPr>
          <w:rFonts w:ascii="Verdana" w:hAnsi="Verdana"/>
          <w:i w:val="0"/>
          <w:iCs/>
          <w:sz w:val="22"/>
          <w:szCs w:val="22"/>
        </w:rPr>
        <w:t xml:space="preserve"> la implementación del modelo</w:t>
      </w:r>
      <w:r w:rsidR="00381DBD">
        <w:rPr>
          <w:rFonts w:ascii="Verdana" w:hAnsi="Verdana"/>
          <w:i w:val="0"/>
          <w:iCs/>
          <w:sz w:val="22"/>
          <w:szCs w:val="22"/>
        </w:rPr>
        <w:t>, la heterogeneidad de los</w:t>
      </w:r>
      <w:r w:rsidRPr="00FC03F5">
        <w:rPr>
          <w:rFonts w:ascii="Verdana" w:hAnsi="Verdana"/>
          <w:i w:val="0"/>
          <w:iCs/>
          <w:sz w:val="22"/>
          <w:szCs w:val="22"/>
        </w:rPr>
        <w:t xml:space="preserve"> modelos de negocio</w:t>
      </w:r>
      <w:r w:rsidR="00381DBD">
        <w:rPr>
          <w:rFonts w:ascii="Verdana" w:hAnsi="Verdana"/>
          <w:i w:val="0"/>
          <w:iCs/>
          <w:sz w:val="22"/>
          <w:szCs w:val="22"/>
        </w:rPr>
        <w:t>,</w:t>
      </w:r>
      <w:r w:rsidR="000C754E">
        <w:rPr>
          <w:rFonts w:ascii="Verdana" w:hAnsi="Verdana"/>
          <w:i w:val="0"/>
          <w:iCs/>
          <w:sz w:val="22"/>
          <w:szCs w:val="22"/>
        </w:rPr>
        <w:t xml:space="preserve"> </w:t>
      </w:r>
      <w:r w:rsidR="00652AC9">
        <w:rPr>
          <w:rFonts w:ascii="Verdana" w:hAnsi="Verdana"/>
          <w:i w:val="0"/>
          <w:iCs/>
          <w:sz w:val="22"/>
          <w:szCs w:val="22"/>
        </w:rPr>
        <w:t xml:space="preserve">la baja participación de la cartera de créditos en sus activos y desarrollo de su objeto social, </w:t>
      </w:r>
      <w:r w:rsidR="00381DBD">
        <w:rPr>
          <w:rFonts w:ascii="Verdana" w:hAnsi="Verdana"/>
          <w:i w:val="0"/>
          <w:iCs/>
          <w:sz w:val="22"/>
          <w:szCs w:val="22"/>
        </w:rPr>
        <w:t xml:space="preserve">entre otras características que </w:t>
      </w:r>
      <w:r w:rsidRPr="00FC03F5">
        <w:rPr>
          <w:rFonts w:ascii="Verdana" w:hAnsi="Verdana"/>
          <w:i w:val="0"/>
          <w:iCs/>
          <w:sz w:val="22"/>
          <w:szCs w:val="22"/>
        </w:rPr>
        <w:t>evidencia</w:t>
      </w:r>
      <w:r w:rsidR="00381DBD">
        <w:rPr>
          <w:rFonts w:ascii="Verdana" w:hAnsi="Verdana"/>
          <w:i w:val="0"/>
          <w:iCs/>
          <w:sz w:val="22"/>
          <w:szCs w:val="22"/>
        </w:rPr>
        <w:t>ron</w:t>
      </w:r>
      <w:r w:rsidRPr="00FC03F5">
        <w:rPr>
          <w:rFonts w:ascii="Verdana" w:hAnsi="Verdana"/>
          <w:i w:val="0"/>
          <w:iCs/>
          <w:sz w:val="22"/>
          <w:szCs w:val="22"/>
        </w:rPr>
        <w:t xml:space="preserve"> la necesidad de realizar un análisis </w:t>
      </w:r>
      <w:r w:rsidR="00381DBD">
        <w:rPr>
          <w:rFonts w:ascii="Verdana" w:hAnsi="Verdana"/>
          <w:i w:val="0"/>
          <w:iCs/>
          <w:sz w:val="22"/>
          <w:szCs w:val="22"/>
        </w:rPr>
        <w:t xml:space="preserve">mayor </w:t>
      </w:r>
      <w:r w:rsidRPr="00FC03F5">
        <w:rPr>
          <w:rFonts w:ascii="Verdana" w:hAnsi="Verdana"/>
          <w:i w:val="0"/>
          <w:iCs/>
          <w:sz w:val="22"/>
          <w:szCs w:val="22"/>
        </w:rPr>
        <w:t>para definir la aplicación de un tratamiento diferenciado orientado a dichas empresas</w:t>
      </w:r>
      <w:r w:rsidR="00652AC9">
        <w:rPr>
          <w:rFonts w:ascii="Verdana" w:hAnsi="Verdana"/>
          <w:i w:val="0"/>
          <w:iCs/>
          <w:sz w:val="22"/>
          <w:szCs w:val="22"/>
        </w:rPr>
        <w:t xml:space="preserve"> solidarias</w:t>
      </w:r>
      <w:r w:rsidRPr="00FC03F5">
        <w:rPr>
          <w:rFonts w:ascii="Verdana" w:hAnsi="Verdana"/>
          <w:i w:val="0"/>
          <w:iCs/>
          <w:sz w:val="22"/>
          <w:szCs w:val="22"/>
        </w:rPr>
        <w:t>.</w:t>
      </w:r>
    </w:p>
    <w:p w14:paraId="61F8A63F" w14:textId="4C21CCBF" w:rsidR="00FC03F5" w:rsidRDefault="00FC03F5" w:rsidP="000F2D06">
      <w:pPr>
        <w:jc w:val="both"/>
        <w:rPr>
          <w:rFonts w:ascii="Verdana" w:hAnsi="Verdana"/>
          <w:i w:val="0"/>
          <w:iCs/>
          <w:sz w:val="22"/>
          <w:szCs w:val="22"/>
        </w:rPr>
      </w:pPr>
    </w:p>
    <w:p w14:paraId="6D345169" w14:textId="7A3FD2C8" w:rsidR="00381DBD" w:rsidRPr="00381DBD" w:rsidRDefault="00381DBD" w:rsidP="00381DBD">
      <w:pPr>
        <w:jc w:val="both"/>
        <w:rPr>
          <w:rFonts w:ascii="Verdana" w:hAnsi="Verdana"/>
          <w:i w:val="0"/>
          <w:iCs/>
          <w:sz w:val="22"/>
          <w:szCs w:val="22"/>
        </w:rPr>
      </w:pPr>
      <w:r>
        <w:rPr>
          <w:rFonts w:ascii="Verdana" w:hAnsi="Verdana"/>
          <w:i w:val="0"/>
          <w:iCs/>
          <w:sz w:val="22"/>
          <w:szCs w:val="22"/>
        </w:rPr>
        <w:t xml:space="preserve">Particularmente, la </w:t>
      </w:r>
      <w:r w:rsidRPr="00381DBD">
        <w:rPr>
          <w:rFonts w:ascii="Verdana" w:hAnsi="Verdana"/>
          <w:i w:val="0"/>
          <w:iCs/>
          <w:sz w:val="22"/>
          <w:szCs w:val="22"/>
        </w:rPr>
        <w:t xml:space="preserve">Circular Externa No. </w:t>
      </w:r>
      <w:r>
        <w:rPr>
          <w:rFonts w:ascii="Verdana" w:hAnsi="Verdana"/>
          <w:i w:val="0"/>
          <w:iCs/>
          <w:sz w:val="22"/>
          <w:szCs w:val="22"/>
        </w:rPr>
        <w:t>93</w:t>
      </w:r>
      <w:r w:rsidRPr="00381DBD">
        <w:rPr>
          <w:rFonts w:ascii="Verdana" w:hAnsi="Verdana"/>
          <w:i w:val="0"/>
          <w:iCs/>
          <w:sz w:val="22"/>
          <w:szCs w:val="22"/>
        </w:rPr>
        <w:t xml:space="preserve"> del</w:t>
      </w:r>
      <w:r>
        <w:rPr>
          <w:rFonts w:ascii="Verdana" w:hAnsi="Verdana"/>
          <w:i w:val="0"/>
          <w:iCs/>
          <w:sz w:val="22"/>
          <w:szCs w:val="22"/>
        </w:rPr>
        <w:t xml:space="preserve"> 18</w:t>
      </w:r>
      <w:r w:rsidRPr="00381DBD">
        <w:rPr>
          <w:rFonts w:ascii="Verdana" w:hAnsi="Verdana"/>
          <w:i w:val="0"/>
          <w:iCs/>
          <w:sz w:val="22"/>
          <w:szCs w:val="22"/>
        </w:rPr>
        <w:t xml:space="preserve"> de </w:t>
      </w:r>
      <w:r>
        <w:rPr>
          <w:rFonts w:ascii="Verdana" w:hAnsi="Verdana"/>
          <w:i w:val="0"/>
          <w:iCs/>
          <w:sz w:val="22"/>
          <w:szCs w:val="22"/>
        </w:rPr>
        <w:t xml:space="preserve">noviembre </w:t>
      </w:r>
      <w:r w:rsidRPr="00381DBD">
        <w:rPr>
          <w:rFonts w:ascii="Verdana" w:hAnsi="Verdana"/>
          <w:i w:val="0"/>
          <w:iCs/>
          <w:sz w:val="22"/>
          <w:szCs w:val="22"/>
        </w:rPr>
        <w:t>de 202</w:t>
      </w:r>
      <w:r>
        <w:rPr>
          <w:rFonts w:ascii="Verdana" w:hAnsi="Verdana"/>
          <w:i w:val="0"/>
          <w:iCs/>
          <w:sz w:val="22"/>
          <w:szCs w:val="22"/>
        </w:rPr>
        <w:t xml:space="preserve">5, </w:t>
      </w:r>
      <w:r w:rsidRPr="00381DBD">
        <w:rPr>
          <w:rFonts w:ascii="Verdana" w:hAnsi="Verdana"/>
          <w:i w:val="0"/>
          <w:iCs/>
          <w:sz w:val="22"/>
          <w:szCs w:val="22"/>
        </w:rPr>
        <w:t>modific</w:t>
      </w:r>
      <w:r>
        <w:rPr>
          <w:rFonts w:ascii="Verdana" w:hAnsi="Verdana"/>
          <w:i w:val="0"/>
          <w:iCs/>
          <w:sz w:val="22"/>
          <w:szCs w:val="22"/>
        </w:rPr>
        <w:t>ó</w:t>
      </w:r>
      <w:r w:rsidRPr="00381DBD">
        <w:rPr>
          <w:rFonts w:ascii="Verdana" w:hAnsi="Verdana"/>
          <w:i w:val="0"/>
          <w:iCs/>
          <w:sz w:val="22"/>
          <w:szCs w:val="22"/>
        </w:rPr>
        <w:t xml:space="preserve"> el Cronograma de implementación del M</w:t>
      </w:r>
      <w:r>
        <w:rPr>
          <w:rFonts w:ascii="Verdana" w:hAnsi="Verdana"/>
          <w:i w:val="0"/>
          <w:iCs/>
          <w:sz w:val="22"/>
          <w:szCs w:val="22"/>
        </w:rPr>
        <w:t xml:space="preserve">odelo de </w:t>
      </w:r>
      <w:r w:rsidRPr="00381DBD">
        <w:rPr>
          <w:rFonts w:ascii="Verdana" w:hAnsi="Verdana"/>
          <w:i w:val="0"/>
          <w:iCs/>
          <w:sz w:val="22"/>
          <w:szCs w:val="22"/>
        </w:rPr>
        <w:t>P</w:t>
      </w:r>
      <w:r>
        <w:rPr>
          <w:rFonts w:ascii="Verdana" w:hAnsi="Verdana"/>
          <w:i w:val="0"/>
          <w:iCs/>
          <w:sz w:val="22"/>
          <w:szCs w:val="22"/>
        </w:rPr>
        <w:t xml:space="preserve">érdida </w:t>
      </w:r>
      <w:r w:rsidRPr="00381DBD">
        <w:rPr>
          <w:rFonts w:ascii="Verdana" w:hAnsi="Verdana"/>
          <w:i w:val="0"/>
          <w:iCs/>
          <w:sz w:val="22"/>
          <w:szCs w:val="22"/>
        </w:rPr>
        <w:t>E</w:t>
      </w:r>
      <w:r>
        <w:rPr>
          <w:rFonts w:ascii="Verdana" w:hAnsi="Verdana"/>
          <w:i w:val="0"/>
          <w:iCs/>
          <w:sz w:val="22"/>
          <w:szCs w:val="22"/>
        </w:rPr>
        <w:t>sperada</w:t>
      </w:r>
      <w:r w:rsidRPr="00381DBD">
        <w:rPr>
          <w:rFonts w:ascii="Verdana" w:hAnsi="Verdana"/>
          <w:i w:val="0"/>
          <w:iCs/>
          <w:sz w:val="22"/>
          <w:szCs w:val="22"/>
        </w:rPr>
        <w:t>, en lo correspondiente al Reporte Pedagógico</w:t>
      </w:r>
      <w:r>
        <w:rPr>
          <w:rFonts w:ascii="Verdana" w:hAnsi="Verdana"/>
          <w:i w:val="0"/>
          <w:iCs/>
          <w:sz w:val="22"/>
          <w:szCs w:val="22"/>
        </w:rPr>
        <w:t xml:space="preserve"> hasta el 30 de junio de 2026</w:t>
      </w:r>
      <w:r w:rsidRPr="00381DBD">
        <w:rPr>
          <w:rFonts w:ascii="Verdana" w:hAnsi="Verdana"/>
          <w:i w:val="0"/>
          <w:iCs/>
          <w:sz w:val="22"/>
          <w:szCs w:val="22"/>
        </w:rPr>
        <w:t xml:space="preserve"> y</w:t>
      </w:r>
      <w:r>
        <w:rPr>
          <w:rFonts w:ascii="Verdana" w:hAnsi="Verdana"/>
          <w:i w:val="0"/>
          <w:iCs/>
          <w:sz w:val="22"/>
          <w:szCs w:val="22"/>
        </w:rPr>
        <w:t xml:space="preserve"> el</w:t>
      </w:r>
      <w:r w:rsidRPr="00381DBD">
        <w:rPr>
          <w:rFonts w:ascii="Verdana" w:hAnsi="Verdana"/>
          <w:i w:val="0"/>
          <w:iCs/>
          <w:sz w:val="22"/>
          <w:szCs w:val="22"/>
        </w:rPr>
        <w:t xml:space="preserve"> Reconocimiento en los Estados Financieros</w:t>
      </w:r>
      <w:r w:rsidR="00004C87">
        <w:rPr>
          <w:rFonts w:ascii="Verdana" w:hAnsi="Verdana"/>
          <w:i w:val="0"/>
          <w:iCs/>
          <w:sz w:val="22"/>
          <w:szCs w:val="22"/>
        </w:rPr>
        <w:t xml:space="preserve"> hasta el 1° de julio de 2026,</w:t>
      </w:r>
      <w:r w:rsidRPr="00381DBD">
        <w:rPr>
          <w:rFonts w:ascii="Verdana" w:hAnsi="Verdana"/>
          <w:i w:val="0"/>
          <w:iCs/>
          <w:sz w:val="22"/>
          <w:szCs w:val="22"/>
        </w:rPr>
        <w:t xml:space="preserve"> </w:t>
      </w:r>
      <w:r>
        <w:rPr>
          <w:rFonts w:ascii="Verdana" w:hAnsi="Verdana"/>
          <w:i w:val="0"/>
          <w:iCs/>
          <w:sz w:val="22"/>
          <w:szCs w:val="22"/>
        </w:rPr>
        <w:t>para</w:t>
      </w:r>
      <w:r w:rsidRPr="00381DBD">
        <w:rPr>
          <w:rFonts w:ascii="Verdana" w:hAnsi="Verdana"/>
          <w:i w:val="0"/>
          <w:iCs/>
          <w:sz w:val="22"/>
          <w:szCs w:val="22"/>
        </w:rPr>
        <w:t xml:space="preserve"> las empresas solidarias supervisadas - ESS pertenecientes al primer nivel de supervisión </w:t>
      </w:r>
      <w:r w:rsidR="00025BB6" w:rsidRPr="00381DBD">
        <w:rPr>
          <w:rFonts w:ascii="Verdana" w:hAnsi="Verdana"/>
          <w:i w:val="0"/>
          <w:iCs/>
          <w:sz w:val="22"/>
          <w:szCs w:val="22"/>
        </w:rPr>
        <w:t xml:space="preserve">con cartera de créditos inferior a $50.000 millones </w:t>
      </w:r>
      <w:r w:rsidRPr="00381DBD">
        <w:rPr>
          <w:rFonts w:ascii="Verdana" w:hAnsi="Verdana"/>
          <w:i w:val="0"/>
          <w:iCs/>
          <w:sz w:val="22"/>
          <w:szCs w:val="22"/>
        </w:rPr>
        <w:t xml:space="preserve">(a excepción de las </w:t>
      </w:r>
      <w:r>
        <w:rPr>
          <w:rFonts w:ascii="Verdana" w:hAnsi="Verdana"/>
          <w:i w:val="0"/>
          <w:iCs/>
          <w:sz w:val="22"/>
          <w:szCs w:val="22"/>
        </w:rPr>
        <w:t xml:space="preserve">Cooperativas de Ahorro y Crédito  </w:t>
      </w:r>
      <w:r w:rsidRPr="00381DBD">
        <w:rPr>
          <w:rFonts w:ascii="Verdana" w:hAnsi="Verdana"/>
          <w:i w:val="0"/>
          <w:iCs/>
          <w:sz w:val="22"/>
          <w:szCs w:val="22"/>
        </w:rPr>
        <w:t>CAC’s y los Fondos de empleados</w:t>
      </w:r>
      <w:r w:rsidR="00652AC9">
        <w:rPr>
          <w:rFonts w:ascii="Verdana" w:hAnsi="Verdana"/>
          <w:i w:val="0"/>
          <w:iCs/>
          <w:sz w:val="22"/>
          <w:szCs w:val="22"/>
        </w:rPr>
        <w:t xml:space="preserve"> de categoría plena</w:t>
      </w:r>
      <w:r w:rsidRPr="00381DBD">
        <w:rPr>
          <w:rFonts w:ascii="Verdana" w:hAnsi="Verdana"/>
          <w:i w:val="0"/>
          <w:iCs/>
          <w:sz w:val="22"/>
          <w:szCs w:val="22"/>
        </w:rPr>
        <w:t>)</w:t>
      </w:r>
      <w:r>
        <w:rPr>
          <w:rFonts w:ascii="Verdana" w:hAnsi="Verdana"/>
          <w:i w:val="0"/>
          <w:iCs/>
          <w:sz w:val="22"/>
          <w:szCs w:val="22"/>
        </w:rPr>
        <w:t xml:space="preserve">, </w:t>
      </w:r>
      <w:r w:rsidR="00025BB6">
        <w:rPr>
          <w:rFonts w:ascii="Verdana" w:hAnsi="Verdana"/>
          <w:i w:val="0"/>
          <w:iCs/>
          <w:sz w:val="22"/>
          <w:szCs w:val="22"/>
        </w:rPr>
        <w:t xml:space="preserve">que se encuentren </w:t>
      </w:r>
      <w:r>
        <w:rPr>
          <w:rFonts w:ascii="Verdana" w:hAnsi="Verdana"/>
          <w:i w:val="0"/>
          <w:iCs/>
          <w:sz w:val="22"/>
          <w:szCs w:val="22"/>
        </w:rPr>
        <w:t>vigentes</w:t>
      </w:r>
      <w:r w:rsidR="00004C87">
        <w:rPr>
          <w:rFonts w:ascii="Verdana" w:hAnsi="Verdana"/>
          <w:i w:val="0"/>
          <w:iCs/>
          <w:sz w:val="22"/>
          <w:szCs w:val="22"/>
        </w:rPr>
        <w:t>,</w:t>
      </w:r>
      <w:r>
        <w:rPr>
          <w:rFonts w:ascii="Verdana" w:hAnsi="Verdana"/>
          <w:i w:val="0"/>
          <w:iCs/>
          <w:sz w:val="22"/>
          <w:szCs w:val="22"/>
        </w:rPr>
        <w:t xml:space="preserve"> o qu</w:t>
      </w:r>
      <w:r w:rsidRPr="00381DBD">
        <w:rPr>
          <w:rFonts w:ascii="Verdana" w:hAnsi="Verdana"/>
          <w:i w:val="0"/>
          <w:iCs/>
          <w:sz w:val="22"/>
          <w:szCs w:val="22"/>
        </w:rPr>
        <w:t xml:space="preserve">e </w:t>
      </w:r>
      <w:r>
        <w:rPr>
          <w:rFonts w:ascii="Verdana" w:hAnsi="Verdana"/>
          <w:i w:val="0"/>
          <w:iCs/>
          <w:sz w:val="22"/>
          <w:szCs w:val="22"/>
        </w:rPr>
        <w:t xml:space="preserve">se </w:t>
      </w:r>
      <w:r w:rsidRPr="00381DBD">
        <w:rPr>
          <w:rFonts w:ascii="Verdana" w:hAnsi="Verdana"/>
          <w:i w:val="0"/>
          <w:iCs/>
          <w:sz w:val="22"/>
          <w:szCs w:val="22"/>
        </w:rPr>
        <w:t>hayan constituido</w:t>
      </w:r>
      <w:r w:rsidR="00004C87">
        <w:rPr>
          <w:rFonts w:ascii="Verdana" w:hAnsi="Verdana"/>
          <w:i w:val="0"/>
          <w:iCs/>
          <w:sz w:val="22"/>
          <w:szCs w:val="22"/>
        </w:rPr>
        <w:t>,</w:t>
      </w:r>
      <w:r w:rsidR="00652AC9">
        <w:rPr>
          <w:rFonts w:ascii="Verdana" w:hAnsi="Verdana"/>
          <w:i w:val="0"/>
          <w:iCs/>
          <w:sz w:val="22"/>
          <w:szCs w:val="22"/>
        </w:rPr>
        <w:t xml:space="preserve"> </w:t>
      </w:r>
      <w:r w:rsidRPr="00381DBD">
        <w:rPr>
          <w:rFonts w:ascii="Verdana" w:hAnsi="Verdana"/>
          <w:i w:val="0"/>
          <w:iCs/>
          <w:sz w:val="22"/>
          <w:szCs w:val="22"/>
        </w:rPr>
        <w:t>o que hayan sido recategorizadas</w:t>
      </w:r>
      <w:r w:rsidR="00004C87">
        <w:rPr>
          <w:rFonts w:ascii="Verdana" w:hAnsi="Verdana"/>
          <w:i w:val="0"/>
          <w:iCs/>
          <w:sz w:val="22"/>
          <w:szCs w:val="22"/>
        </w:rPr>
        <w:t>,</w:t>
      </w:r>
      <w:r w:rsidRPr="00381DBD">
        <w:rPr>
          <w:rFonts w:ascii="Verdana" w:hAnsi="Verdana"/>
          <w:i w:val="0"/>
          <w:iCs/>
          <w:sz w:val="22"/>
          <w:szCs w:val="22"/>
        </w:rPr>
        <w:t xml:space="preserve"> con posterioridad al corte base de diciembre de 2021, a las cuales les aplique la implementación del SARC.</w:t>
      </w:r>
    </w:p>
    <w:p w14:paraId="18C726E5" w14:textId="0B2424EE" w:rsidR="00FC03F5" w:rsidRDefault="00FC03F5" w:rsidP="004B736C">
      <w:pPr>
        <w:jc w:val="both"/>
        <w:rPr>
          <w:rFonts w:ascii="Verdana" w:hAnsi="Verdana"/>
          <w:i w:val="0"/>
          <w:iCs/>
          <w:sz w:val="22"/>
          <w:szCs w:val="22"/>
        </w:rPr>
      </w:pPr>
    </w:p>
    <w:p w14:paraId="2F36EE93" w14:textId="77777777" w:rsidR="003F2AD2" w:rsidRDefault="00004C87" w:rsidP="004B736C">
      <w:pPr>
        <w:pStyle w:val="Sinespaciado"/>
        <w:jc w:val="both"/>
        <w:rPr>
          <w:rFonts w:ascii="Verdana" w:hAnsi="Verdana"/>
          <w:i w:val="0"/>
          <w:iCs/>
          <w:sz w:val="22"/>
          <w:szCs w:val="22"/>
        </w:rPr>
      </w:pPr>
      <w:r w:rsidRPr="004B736C">
        <w:rPr>
          <w:rFonts w:ascii="Verdana" w:hAnsi="Verdana"/>
          <w:i w:val="0"/>
          <w:iCs/>
          <w:sz w:val="22"/>
          <w:szCs w:val="22"/>
        </w:rPr>
        <w:t xml:space="preserve">Esta Circular Externa No. 93 dispuso en la instrucción CUARTA la obligación para esta Superintendencia de adelantar la revisión respecto del Modelo de Pérdida Esperada, y por lo tanto los análisis del caso durante la vigencia 2025 y parte de la vigencia 2026, estableciendo en la instrucción QUINTA hasta el 30 de junio del 2026 </w:t>
      </w:r>
      <w:r w:rsidR="004B736C" w:rsidRPr="004B736C">
        <w:rPr>
          <w:rFonts w:ascii="Verdana" w:hAnsi="Verdana"/>
          <w:i w:val="0"/>
          <w:iCs/>
          <w:sz w:val="22"/>
          <w:szCs w:val="22"/>
        </w:rPr>
        <w:t xml:space="preserve">como </w:t>
      </w:r>
      <w:r w:rsidRPr="004B736C">
        <w:rPr>
          <w:rFonts w:ascii="Verdana" w:hAnsi="Verdana"/>
          <w:i w:val="0"/>
          <w:iCs/>
          <w:sz w:val="22"/>
          <w:szCs w:val="22"/>
        </w:rPr>
        <w:t>un tiempo prudencial para surtir la revisión técnica correspondiente, acciones que fueron adelantadas por esta Autoridad de Supervisión</w:t>
      </w:r>
      <w:r w:rsidR="003F2AD2">
        <w:rPr>
          <w:rFonts w:ascii="Verdana" w:hAnsi="Verdana"/>
          <w:i w:val="0"/>
          <w:iCs/>
          <w:sz w:val="22"/>
          <w:szCs w:val="22"/>
        </w:rPr>
        <w:t>.</w:t>
      </w:r>
    </w:p>
    <w:p w14:paraId="51476D83" w14:textId="77777777" w:rsidR="003F2AD2" w:rsidRDefault="003F2AD2" w:rsidP="004B736C">
      <w:pPr>
        <w:pStyle w:val="Sinespaciado"/>
        <w:jc w:val="both"/>
        <w:rPr>
          <w:rFonts w:ascii="Verdana" w:hAnsi="Verdana"/>
          <w:i w:val="0"/>
          <w:iCs/>
          <w:sz w:val="22"/>
          <w:szCs w:val="22"/>
        </w:rPr>
      </w:pPr>
    </w:p>
    <w:p w14:paraId="401C4F68" w14:textId="10F347D2" w:rsidR="00004C87" w:rsidRPr="004B736C" w:rsidRDefault="003F2AD2" w:rsidP="004B736C">
      <w:pPr>
        <w:pStyle w:val="Sinespaciado"/>
        <w:jc w:val="both"/>
        <w:rPr>
          <w:rFonts w:ascii="Verdana" w:hAnsi="Verdana"/>
          <w:i w:val="0"/>
          <w:iCs/>
          <w:sz w:val="22"/>
          <w:szCs w:val="22"/>
        </w:rPr>
      </w:pPr>
      <w:r>
        <w:rPr>
          <w:rFonts w:ascii="Verdana" w:hAnsi="Verdana"/>
          <w:i w:val="0"/>
          <w:iCs/>
          <w:sz w:val="22"/>
          <w:szCs w:val="22"/>
        </w:rPr>
        <w:t xml:space="preserve">El resultado </w:t>
      </w:r>
      <w:r w:rsidR="00652AC9">
        <w:rPr>
          <w:rFonts w:ascii="Verdana" w:hAnsi="Verdana"/>
          <w:i w:val="0"/>
          <w:iCs/>
          <w:sz w:val="22"/>
          <w:szCs w:val="22"/>
        </w:rPr>
        <w:t xml:space="preserve">de esta revisión y </w:t>
      </w:r>
      <w:r>
        <w:rPr>
          <w:rFonts w:ascii="Verdana" w:hAnsi="Verdana"/>
          <w:i w:val="0"/>
          <w:iCs/>
          <w:sz w:val="22"/>
          <w:szCs w:val="22"/>
        </w:rPr>
        <w:t xml:space="preserve">los análisis de la cartera de créditos por niveles de supervisión </w:t>
      </w:r>
      <w:r w:rsidR="00004C87" w:rsidRPr="004B736C">
        <w:rPr>
          <w:rFonts w:ascii="Verdana" w:hAnsi="Verdana"/>
          <w:i w:val="0"/>
          <w:iCs/>
          <w:sz w:val="22"/>
          <w:szCs w:val="22"/>
        </w:rPr>
        <w:t>permitió establecer</w:t>
      </w:r>
      <w:r>
        <w:rPr>
          <w:rFonts w:ascii="Verdana" w:hAnsi="Verdana"/>
          <w:i w:val="0"/>
          <w:iCs/>
          <w:sz w:val="22"/>
          <w:szCs w:val="22"/>
        </w:rPr>
        <w:t xml:space="preserve"> que</w:t>
      </w:r>
      <w:r w:rsidR="00004C87" w:rsidRPr="004B736C">
        <w:rPr>
          <w:rFonts w:ascii="Verdana" w:hAnsi="Verdana"/>
          <w:i w:val="0"/>
          <w:iCs/>
          <w:sz w:val="22"/>
          <w:szCs w:val="22"/>
        </w:rPr>
        <w:t>:</w:t>
      </w:r>
    </w:p>
    <w:p w14:paraId="7DD3AA8B" w14:textId="3885FB13" w:rsidR="00FC03F5" w:rsidRPr="004B736C" w:rsidRDefault="00FC03F5" w:rsidP="004B736C">
      <w:pPr>
        <w:pStyle w:val="Sinespaciado"/>
        <w:rPr>
          <w:rFonts w:ascii="Verdana" w:hAnsi="Verdana"/>
          <w:sz w:val="22"/>
          <w:szCs w:val="22"/>
        </w:rPr>
      </w:pPr>
    </w:p>
    <w:p w14:paraId="1588C97B" w14:textId="6DA5484A" w:rsidR="004B736C" w:rsidRPr="00652AC9" w:rsidRDefault="004B736C" w:rsidP="00652AC9">
      <w:pPr>
        <w:pStyle w:val="Sinespaciado"/>
        <w:numPr>
          <w:ilvl w:val="0"/>
          <w:numId w:val="13"/>
        </w:numPr>
        <w:jc w:val="both"/>
        <w:rPr>
          <w:rFonts w:ascii="Verdana" w:hAnsi="Verdana" w:cs="Times New Roman"/>
          <w:i w:val="0"/>
          <w:iCs/>
          <w:sz w:val="22"/>
          <w:szCs w:val="22"/>
          <w:lang w:eastAsia="es-CO"/>
        </w:rPr>
      </w:pPr>
      <w:r w:rsidRPr="004B736C">
        <w:rPr>
          <w:rFonts w:ascii="Verdana" w:hAnsi="Verdana" w:cs="Times New Roman"/>
          <w:i w:val="0"/>
          <w:iCs/>
          <w:sz w:val="22"/>
          <w:szCs w:val="22"/>
          <w:lang w:eastAsia="es-CO"/>
        </w:rPr>
        <w:t>Del reporte efectuado, se evidencia que</w:t>
      </w:r>
      <w:r w:rsidR="00652AC9">
        <w:rPr>
          <w:rFonts w:ascii="Verdana" w:hAnsi="Verdana" w:cs="Times New Roman"/>
          <w:i w:val="0"/>
          <w:iCs/>
          <w:sz w:val="22"/>
          <w:szCs w:val="22"/>
          <w:lang w:eastAsia="es-CO"/>
        </w:rPr>
        <w:t xml:space="preserve"> de las </w:t>
      </w:r>
      <w:r w:rsidR="00652AC9" w:rsidRPr="004B736C">
        <w:rPr>
          <w:rFonts w:ascii="Verdana" w:hAnsi="Verdana" w:cs="Times New Roman"/>
          <w:i w:val="0"/>
          <w:iCs/>
          <w:sz w:val="22"/>
          <w:szCs w:val="22"/>
          <w:lang w:eastAsia="es-CO"/>
        </w:rPr>
        <w:t xml:space="preserve">877 </w:t>
      </w:r>
      <w:r w:rsidR="000C754E">
        <w:rPr>
          <w:rFonts w:ascii="Verdana" w:hAnsi="Verdana" w:cs="Times New Roman"/>
          <w:i w:val="0"/>
          <w:iCs/>
          <w:sz w:val="22"/>
          <w:szCs w:val="22"/>
          <w:lang w:eastAsia="es-CO"/>
        </w:rPr>
        <w:t>cooperativas diferentes de ahorro y crédito</w:t>
      </w:r>
      <w:r w:rsidR="00D60B6D">
        <w:rPr>
          <w:rFonts w:ascii="Verdana" w:hAnsi="Verdana" w:cs="Times New Roman"/>
          <w:i w:val="0"/>
          <w:iCs/>
          <w:sz w:val="22"/>
          <w:szCs w:val="22"/>
          <w:lang w:eastAsia="es-CO"/>
        </w:rPr>
        <w:t xml:space="preserve"> </w:t>
      </w:r>
      <w:r w:rsidR="00D60B6D" w:rsidRPr="000C754E">
        <w:rPr>
          <w:rFonts w:ascii="Verdana" w:hAnsi="Verdana" w:cs="Times New Roman"/>
          <w:i w:val="0"/>
          <w:iCs/>
          <w:sz w:val="22"/>
          <w:szCs w:val="22"/>
          <w:lang w:eastAsia="es-CO"/>
        </w:rPr>
        <w:t>con cartera de crédito</w:t>
      </w:r>
      <w:r w:rsidR="000C754E" w:rsidRPr="000C754E">
        <w:rPr>
          <w:rFonts w:ascii="Verdana" w:hAnsi="Verdana" w:cs="Times New Roman"/>
          <w:i w:val="0"/>
          <w:iCs/>
          <w:sz w:val="22"/>
          <w:szCs w:val="22"/>
          <w:lang w:eastAsia="es-CO"/>
        </w:rPr>
        <w:t>s</w:t>
      </w:r>
      <w:r w:rsidR="00652AC9">
        <w:rPr>
          <w:rFonts w:ascii="Verdana" w:hAnsi="Verdana" w:cs="Times New Roman"/>
          <w:i w:val="0"/>
          <w:iCs/>
          <w:sz w:val="22"/>
          <w:szCs w:val="22"/>
          <w:lang w:eastAsia="es-CO"/>
        </w:rPr>
        <w:t xml:space="preserve"> que reportaron</w:t>
      </w:r>
      <w:r w:rsidR="00D60B6D">
        <w:rPr>
          <w:rFonts w:ascii="Verdana" w:hAnsi="Verdana" w:cs="Times New Roman"/>
          <w:i w:val="0"/>
          <w:iCs/>
          <w:sz w:val="22"/>
          <w:szCs w:val="22"/>
          <w:lang w:eastAsia="es-CO"/>
        </w:rPr>
        <w:t xml:space="preserve"> a </w:t>
      </w:r>
      <w:r w:rsidR="00D60B6D" w:rsidRPr="004B736C">
        <w:rPr>
          <w:rFonts w:ascii="Verdana" w:hAnsi="Verdana" w:cs="Times New Roman"/>
          <w:i w:val="0"/>
          <w:iCs/>
          <w:sz w:val="22"/>
          <w:szCs w:val="22"/>
          <w:lang w:eastAsia="es-CO"/>
        </w:rPr>
        <w:t xml:space="preserve">corte </w:t>
      </w:r>
      <w:r w:rsidR="00D60B6D">
        <w:rPr>
          <w:rFonts w:ascii="Verdana" w:hAnsi="Verdana" w:cs="Times New Roman"/>
          <w:i w:val="0"/>
          <w:iCs/>
          <w:sz w:val="22"/>
          <w:szCs w:val="22"/>
          <w:lang w:eastAsia="es-CO"/>
        </w:rPr>
        <w:t>de</w:t>
      </w:r>
      <w:r w:rsidR="00D60B6D" w:rsidRPr="004B736C">
        <w:rPr>
          <w:rFonts w:ascii="Verdana" w:hAnsi="Verdana" w:cs="Times New Roman"/>
          <w:i w:val="0"/>
          <w:iCs/>
          <w:sz w:val="22"/>
          <w:szCs w:val="22"/>
          <w:lang w:eastAsia="es-CO"/>
        </w:rPr>
        <w:t xml:space="preserve"> diciembre del 2025</w:t>
      </w:r>
      <w:r w:rsidR="000C754E">
        <w:rPr>
          <w:rFonts w:ascii="Verdana" w:hAnsi="Verdana" w:cs="Times New Roman"/>
          <w:i w:val="0"/>
          <w:iCs/>
          <w:sz w:val="22"/>
          <w:szCs w:val="22"/>
          <w:lang w:eastAsia="es-CO"/>
        </w:rPr>
        <w:t xml:space="preserve"> </w:t>
      </w:r>
      <w:r w:rsidR="00652AC9" w:rsidRPr="00652AC9">
        <w:rPr>
          <w:rFonts w:ascii="Verdana" w:hAnsi="Verdana" w:cs="Times New Roman"/>
          <w:i w:val="0"/>
          <w:iCs/>
          <w:sz w:val="22"/>
          <w:szCs w:val="22"/>
          <w:lang w:eastAsia="es-CO"/>
        </w:rPr>
        <w:t xml:space="preserve">se </w:t>
      </w:r>
      <w:r w:rsidRPr="00652AC9">
        <w:rPr>
          <w:rFonts w:ascii="Verdana" w:hAnsi="Verdana" w:cs="Times New Roman"/>
          <w:i w:val="0"/>
          <w:iCs/>
          <w:sz w:val="22"/>
          <w:szCs w:val="22"/>
          <w:lang w:eastAsia="es-CO"/>
        </w:rPr>
        <w:t xml:space="preserve">concentra el 81% (709 organizaciones) en </w:t>
      </w:r>
      <w:r w:rsidR="00652AC9" w:rsidRPr="00652AC9">
        <w:rPr>
          <w:rFonts w:ascii="Verdana" w:hAnsi="Verdana" w:cs="Times New Roman"/>
          <w:i w:val="0"/>
          <w:iCs/>
          <w:sz w:val="22"/>
          <w:szCs w:val="22"/>
          <w:lang w:eastAsia="es-CO"/>
        </w:rPr>
        <w:t xml:space="preserve">el </w:t>
      </w:r>
      <w:r w:rsidRPr="00652AC9">
        <w:rPr>
          <w:rFonts w:ascii="Verdana" w:hAnsi="Verdana" w:cs="Times New Roman"/>
          <w:i w:val="0"/>
          <w:iCs/>
          <w:sz w:val="22"/>
          <w:szCs w:val="22"/>
          <w:lang w:eastAsia="es-CO"/>
        </w:rPr>
        <w:t>Nivel 3 de supervisión</w:t>
      </w:r>
      <w:r w:rsidR="00025BB6">
        <w:rPr>
          <w:rFonts w:ascii="Verdana" w:hAnsi="Verdana" w:cs="Times New Roman"/>
          <w:i w:val="0"/>
          <w:iCs/>
          <w:sz w:val="22"/>
          <w:szCs w:val="22"/>
          <w:lang w:eastAsia="es-CO"/>
        </w:rPr>
        <w:t xml:space="preserve"> (</w:t>
      </w:r>
      <w:r w:rsidR="00025BB6" w:rsidRPr="000C754E">
        <w:rPr>
          <w:rFonts w:ascii="Verdana" w:hAnsi="Verdana" w:cs="Times New Roman"/>
          <w:i w:val="0"/>
          <w:iCs/>
          <w:sz w:val="22"/>
          <w:szCs w:val="22"/>
          <w:lang w:eastAsia="es-CO"/>
        </w:rPr>
        <w:t>empresas solidarias exceptuadas de la aplicación del modelo de referencia para la estimación de las pérdidas esperadas</w:t>
      </w:r>
      <w:r w:rsidR="00025BB6">
        <w:rPr>
          <w:rFonts w:ascii="Verdana" w:hAnsi="Verdana" w:cs="Times New Roman"/>
          <w:i w:val="0"/>
          <w:iCs/>
          <w:sz w:val="22"/>
          <w:szCs w:val="22"/>
          <w:lang w:eastAsia="es-CO"/>
        </w:rPr>
        <w:t>)</w:t>
      </w:r>
      <w:r w:rsidRPr="00652AC9">
        <w:rPr>
          <w:rFonts w:ascii="Verdana" w:hAnsi="Verdana" w:cs="Times New Roman"/>
          <w:i w:val="0"/>
          <w:iCs/>
          <w:sz w:val="22"/>
          <w:szCs w:val="22"/>
          <w:lang w:eastAsia="es-CO"/>
        </w:rPr>
        <w:t xml:space="preserve">, </w:t>
      </w:r>
      <w:r w:rsidRPr="000C754E">
        <w:rPr>
          <w:rFonts w:ascii="Verdana" w:hAnsi="Verdana" w:cs="Times New Roman"/>
          <w:i w:val="0"/>
          <w:iCs/>
          <w:sz w:val="22"/>
          <w:szCs w:val="22"/>
          <w:lang w:eastAsia="es-CO"/>
        </w:rPr>
        <w:t xml:space="preserve">con una participación </w:t>
      </w:r>
      <w:r w:rsidR="00652AC9" w:rsidRPr="000C754E">
        <w:rPr>
          <w:rFonts w:ascii="Verdana" w:hAnsi="Verdana" w:cs="Times New Roman"/>
          <w:i w:val="0"/>
          <w:iCs/>
          <w:sz w:val="22"/>
          <w:szCs w:val="22"/>
          <w:lang w:eastAsia="es-CO"/>
        </w:rPr>
        <w:t xml:space="preserve">en la cartera total </w:t>
      </w:r>
      <w:r w:rsidRPr="000C754E">
        <w:rPr>
          <w:rFonts w:ascii="Verdana" w:hAnsi="Verdana" w:cs="Times New Roman"/>
          <w:i w:val="0"/>
          <w:iCs/>
          <w:sz w:val="22"/>
          <w:szCs w:val="22"/>
          <w:lang w:eastAsia="es-CO"/>
        </w:rPr>
        <w:t>de sólo el 15,90%</w:t>
      </w:r>
      <w:r w:rsidR="000C754E">
        <w:rPr>
          <w:rFonts w:ascii="Verdana" w:hAnsi="Verdana" w:cs="Times New Roman"/>
          <w:i w:val="0"/>
          <w:iCs/>
          <w:sz w:val="22"/>
          <w:szCs w:val="22"/>
          <w:lang w:eastAsia="es-CO"/>
        </w:rPr>
        <w:t xml:space="preserve">. </w:t>
      </w:r>
    </w:p>
    <w:p w14:paraId="3BA63F23" w14:textId="6C37401A" w:rsidR="004B736C" w:rsidRPr="004B736C" w:rsidRDefault="004B736C" w:rsidP="004B736C">
      <w:pPr>
        <w:pStyle w:val="Sinespaciado"/>
        <w:numPr>
          <w:ilvl w:val="0"/>
          <w:numId w:val="13"/>
        </w:numPr>
        <w:jc w:val="both"/>
        <w:rPr>
          <w:rFonts w:ascii="Verdana" w:hAnsi="Verdana" w:cs="Times New Roman"/>
          <w:i w:val="0"/>
          <w:iCs/>
          <w:sz w:val="22"/>
          <w:szCs w:val="22"/>
          <w:lang w:eastAsia="es-CO"/>
        </w:rPr>
      </w:pPr>
      <w:r>
        <w:rPr>
          <w:rFonts w:ascii="Verdana" w:hAnsi="Verdana" w:cs="Times New Roman"/>
          <w:i w:val="0"/>
          <w:iCs/>
          <w:sz w:val="22"/>
          <w:szCs w:val="22"/>
          <w:lang w:eastAsia="es-CO"/>
        </w:rPr>
        <w:lastRenderedPageBreak/>
        <w:t xml:space="preserve">Por su parte, </w:t>
      </w:r>
      <w:r w:rsidRPr="004B736C">
        <w:rPr>
          <w:rFonts w:ascii="Verdana" w:hAnsi="Verdana" w:cs="Times New Roman"/>
          <w:i w:val="0"/>
          <w:iCs/>
          <w:sz w:val="22"/>
          <w:szCs w:val="22"/>
          <w:lang w:eastAsia="es-CO"/>
        </w:rPr>
        <w:t xml:space="preserve">las organizaciones de Nivel 1 </w:t>
      </w:r>
      <w:r>
        <w:rPr>
          <w:rFonts w:ascii="Verdana" w:hAnsi="Verdana" w:cs="Times New Roman"/>
          <w:i w:val="0"/>
          <w:iCs/>
          <w:sz w:val="22"/>
          <w:szCs w:val="22"/>
          <w:lang w:eastAsia="es-CO"/>
        </w:rPr>
        <w:t xml:space="preserve">de supervisión </w:t>
      </w:r>
      <w:r w:rsidRPr="004B736C">
        <w:rPr>
          <w:rFonts w:ascii="Verdana" w:hAnsi="Verdana" w:cs="Times New Roman"/>
          <w:i w:val="0"/>
          <w:iCs/>
          <w:sz w:val="22"/>
          <w:szCs w:val="22"/>
          <w:lang w:eastAsia="es-CO"/>
        </w:rPr>
        <w:t xml:space="preserve">con cartera </w:t>
      </w:r>
      <w:r>
        <w:rPr>
          <w:rFonts w:ascii="Verdana" w:hAnsi="Verdana" w:cs="Times New Roman"/>
          <w:i w:val="0"/>
          <w:iCs/>
          <w:sz w:val="22"/>
          <w:szCs w:val="22"/>
          <w:lang w:eastAsia="es-CO"/>
        </w:rPr>
        <w:t xml:space="preserve">de créditos </w:t>
      </w:r>
      <w:r w:rsidRPr="004B736C">
        <w:rPr>
          <w:rFonts w:ascii="Verdana" w:hAnsi="Verdana" w:cs="Times New Roman"/>
          <w:i w:val="0"/>
          <w:iCs/>
          <w:sz w:val="22"/>
          <w:szCs w:val="22"/>
          <w:lang w:eastAsia="es-CO"/>
        </w:rPr>
        <w:t>superior a $50</w:t>
      </w:r>
      <w:r>
        <w:rPr>
          <w:rFonts w:ascii="Verdana" w:hAnsi="Verdana" w:cs="Times New Roman"/>
          <w:i w:val="0"/>
          <w:iCs/>
          <w:sz w:val="22"/>
          <w:szCs w:val="22"/>
          <w:lang w:eastAsia="es-CO"/>
        </w:rPr>
        <w:t xml:space="preserve">.000 millones </w:t>
      </w:r>
      <w:r w:rsidRPr="004B736C">
        <w:rPr>
          <w:rFonts w:ascii="Verdana" w:hAnsi="Verdana" w:cs="Times New Roman"/>
          <w:i w:val="0"/>
          <w:iCs/>
          <w:sz w:val="22"/>
          <w:szCs w:val="22"/>
          <w:lang w:eastAsia="es-CO"/>
        </w:rPr>
        <w:t xml:space="preserve">(11 entidades) concentran el 50,3% de la cartera total, </w:t>
      </w:r>
      <w:r>
        <w:rPr>
          <w:rFonts w:ascii="Verdana" w:hAnsi="Verdana" w:cs="Times New Roman"/>
          <w:i w:val="0"/>
          <w:iCs/>
          <w:sz w:val="22"/>
          <w:szCs w:val="22"/>
          <w:lang w:eastAsia="es-CO"/>
        </w:rPr>
        <w:t xml:space="preserve">y las de cartera </w:t>
      </w:r>
      <w:r w:rsidRPr="004B736C">
        <w:rPr>
          <w:rFonts w:ascii="Verdana" w:hAnsi="Verdana" w:cs="Times New Roman"/>
          <w:i w:val="0"/>
          <w:iCs/>
          <w:sz w:val="22"/>
          <w:szCs w:val="22"/>
          <w:lang w:eastAsia="es-CO"/>
        </w:rPr>
        <w:t>menor a $50</w:t>
      </w:r>
      <w:r>
        <w:rPr>
          <w:rFonts w:ascii="Verdana" w:hAnsi="Verdana" w:cs="Times New Roman"/>
          <w:i w:val="0"/>
          <w:iCs/>
          <w:sz w:val="22"/>
          <w:szCs w:val="22"/>
          <w:lang w:eastAsia="es-CO"/>
        </w:rPr>
        <w:t xml:space="preserve">.000 millones </w:t>
      </w:r>
      <w:r w:rsidRPr="004B736C">
        <w:rPr>
          <w:rFonts w:ascii="Verdana" w:hAnsi="Verdana" w:cs="Times New Roman"/>
          <w:i w:val="0"/>
          <w:iCs/>
          <w:sz w:val="22"/>
          <w:szCs w:val="22"/>
          <w:lang w:eastAsia="es-CO"/>
        </w:rPr>
        <w:t>(44 entidades) representa</w:t>
      </w:r>
      <w:r>
        <w:rPr>
          <w:rFonts w:ascii="Verdana" w:hAnsi="Verdana" w:cs="Times New Roman"/>
          <w:i w:val="0"/>
          <w:iCs/>
          <w:sz w:val="22"/>
          <w:szCs w:val="22"/>
          <w:lang w:eastAsia="es-CO"/>
        </w:rPr>
        <w:t>n</w:t>
      </w:r>
      <w:r w:rsidRPr="004B736C">
        <w:rPr>
          <w:rFonts w:ascii="Verdana" w:hAnsi="Verdana" w:cs="Times New Roman"/>
          <w:i w:val="0"/>
          <w:iCs/>
          <w:sz w:val="22"/>
          <w:szCs w:val="22"/>
          <w:lang w:eastAsia="es-CO"/>
        </w:rPr>
        <w:t xml:space="preserve"> el 14,29% de la cartera.</w:t>
      </w:r>
    </w:p>
    <w:p w14:paraId="73D0F82E" w14:textId="2769651D" w:rsidR="004B736C" w:rsidRPr="004B736C" w:rsidRDefault="004B736C" w:rsidP="004B736C">
      <w:pPr>
        <w:pStyle w:val="Sinespaciado"/>
        <w:numPr>
          <w:ilvl w:val="0"/>
          <w:numId w:val="13"/>
        </w:numPr>
        <w:jc w:val="both"/>
        <w:rPr>
          <w:rFonts w:ascii="Verdana" w:hAnsi="Verdana" w:cs="Times New Roman"/>
          <w:i w:val="0"/>
          <w:iCs/>
          <w:sz w:val="22"/>
          <w:szCs w:val="22"/>
          <w:lang w:eastAsia="es-CO"/>
        </w:rPr>
      </w:pPr>
      <w:r w:rsidRPr="004B736C">
        <w:rPr>
          <w:rFonts w:ascii="Verdana" w:hAnsi="Verdana" w:cs="Times New Roman"/>
          <w:i w:val="0"/>
          <w:iCs/>
          <w:sz w:val="22"/>
          <w:szCs w:val="22"/>
          <w:lang w:eastAsia="es-CO"/>
        </w:rPr>
        <w:t>Las entidades de Nivel 2</w:t>
      </w:r>
      <w:r>
        <w:rPr>
          <w:rFonts w:ascii="Verdana" w:hAnsi="Verdana" w:cs="Times New Roman"/>
          <w:i w:val="0"/>
          <w:iCs/>
          <w:sz w:val="22"/>
          <w:szCs w:val="22"/>
          <w:lang w:eastAsia="es-CO"/>
        </w:rPr>
        <w:t xml:space="preserve"> de supervisión</w:t>
      </w:r>
      <w:r w:rsidRPr="004B736C">
        <w:rPr>
          <w:rFonts w:ascii="Verdana" w:hAnsi="Verdana" w:cs="Times New Roman"/>
          <w:i w:val="0"/>
          <w:iCs/>
          <w:sz w:val="22"/>
          <w:szCs w:val="22"/>
          <w:lang w:eastAsia="es-CO"/>
        </w:rPr>
        <w:t xml:space="preserve"> (113 organizaciones) participan con el 19,</w:t>
      </w:r>
      <w:r>
        <w:rPr>
          <w:rFonts w:ascii="Verdana" w:hAnsi="Verdana" w:cs="Times New Roman"/>
          <w:i w:val="0"/>
          <w:iCs/>
          <w:sz w:val="22"/>
          <w:szCs w:val="22"/>
          <w:lang w:eastAsia="es-CO"/>
        </w:rPr>
        <w:t>5</w:t>
      </w:r>
      <w:r w:rsidRPr="004B736C">
        <w:rPr>
          <w:rFonts w:ascii="Verdana" w:hAnsi="Verdana" w:cs="Times New Roman"/>
          <w:i w:val="0"/>
          <w:iCs/>
          <w:sz w:val="22"/>
          <w:szCs w:val="22"/>
          <w:lang w:eastAsia="es-CO"/>
        </w:rPr>
        <w:t>% de la cartera</w:t>
      </w:r>
      <w:r>
        <w:rPr>
          <w:rFonts w:ascii="Verdana" w:hAnsi="Verdana" w:cs="Times New Roman"/>
          <w:i w:val="0"/>
          <w:iCs/>
          <w:sz w:val="22"/>
          <w:szCs w:val="22"/>
          <w:lang w:eastAsia="es-CO"/>
        </w:rPr>
        <w:t xml:space="preserve"> total.</w:t>
      </w:r>
      <w:r w:rsidRPr="004B736C">
        <w:rPr>
          <w:rFonts w:ascii="Verdana" w:hAnsi="Verdana" w:cs="Times New Roman"/>
          <w:i w:val="0"/>
          <w:iCs/>
          <w:sz w:val="22"/>
          <w:szCs w:val="22"/>
          <w:lang w:eastAsia="es-CO"/>
        </w:rPr>
        <w:t xml:space="preserve"> </w:t>
      </w:r>
    </w:p>
    <w:p w14:paraId="06FDCD37" w14:textId="4561361B" w:rsidR="004B736C" w:rsidRDefault="004B736C" w:rsidP="000F2D06">
      <w:pPr>
        <w:jc w:val="both"/>
      </w:pPr>
    </w:p>
    <w:p w14:paraId="3D659016" w14:textId="5143B230" w:rsidR="003F2AD2" w:rsidRPr="003F2AD2" w:rsidRDefault="003F2AD2" w:rsidP="003F2AD2">
      <w:pPr>
        <w:pStyle w:val="Sinespaciado"/>
        <w:jc w:val="both"/>
        <w:rPr>
          <w:rFonts w:ascii="Verdana" w:hAnsi="Verdana"/>
          <w:i w:val="0"/>
          <w:iCs/>
          <w:sz w:val="22"/>
          <w:szCs w:val="22"/>
        </w:rPr>
      </w:pPr>
      <w:r w:rsidRPr="003F2AD2">
        <w:rPr>
          <w:rFonts w:ascii="Verdana" w:hAnsi="Verdana"/>
          <w:i w:val="0"/>
          <w:iCs/>
          <w:sz w:val="22"/>
          <w:szCs w:val="22"/>
        </w:rPr>
        <w:t>En cuanto a la participación de la cartera de créditos frente al activo, por niveles de supervisión se encontró que:</w:t>
      </w:r>
    </w:p>
    <w:p w14:paraId="2D17AB8A" w14:textId="77777777" w:rsidR="003F2AD2" w:rsidRDefault="003F2AD2" w:rsidP="000F2D06">
      <w:pPr>
        <w:jc w:val="both"/>
      </w:pPr>
    </w:p>
    <w:p w14:paraId="5CA2C7C9" w14:textId="290B0095" w:rsidR="003F2AD2" w:rsidRPr="003F2AD2" w:rsidRDefault="003F2AD2" w:rsidP="003F2AD2">
      <w:pPr>
        <w:pStyle w:val="Sinespaciado"/>
        <w:numPr>
          <w:ilvl w:val="0"/>
          <w:numId w:val="13"/>
        </w:numPr>
        <w:jc w:val="both"/>
        <w:rPr>
          <w:rFonts w:ascii="Verdana" w:hAnsi="Verdana" w:cs="Times New Roman"/>
          <w:i w:val="0"/>
          <w:iCs/>
          <w:sz w:val="22"/>
          <w:szCs w:val="22"/>
          <w:lang w:eastAsia="es-CO"/>
        </w:rPr>
      </w:pPr>
      <w:r w:rsidRPr="003F2AD2">
        <w:rPr>
          <w:rFonts w:ascii="Verdana" w:hAnsi="Verdana" w:cs="Times New Roman"/>
          <w:i w:val="0"/>
          <w:iCs/>
          <w:sz w:val="22"/>
          <w:szCs w:val="22"/>
          <w:lang w:eastAsia="es-CO"/>
        </w:rPr>
        <w:t xml:space="preserve">Las entidades del </w:t>
      </w:r>
      <w:r w:rsidRPr="006A57E3">
        <w:rPr>
          <w:rFonts w:ascii="Verdana" w:hAnsi="Verdana" w:cs="Times New Roman"/>
          <w:i w:val="0"/>
          <w:iCs/>
          <w:sz w:val="22"/>
          <w:szCs w:val="22"/>
          <w:lang w:eastAsia="es-CO"/>
        </w:rPr>
        <w:t>Nivel 1 de supervisión presentan una participación de cartera sobre activos del 24,</w:t>
      </w:r>
      <w:r w:rsidR="00D60B6D" w:rsidRPr="006A57E3">
        <w:rPr>
          <w:rFonts w:ascii="Verdana" w:hAnsi="Verdana" w:cs="Times New Roman"/>
          <w:i w:val="0"/>
          <w:iCs/>
          <w:sz w:val="22"/>
          <w:szCs w:val="22"/>
          <w:lang w:eastAsia="es-CO"/>
        </w:rPr>
        <w:t>8</w:t>
      </w:r>
      <w:r w:rsidRPr="006A57E3">
        <w:rPr>
          <w:rFonts w:ascii="Verdana" w:hAnsi="Verdana" w:cs="Times New Roman"/>
          <w:i w:val="0"/>
          <w:iCs/>
          <w:sz w:val="22"/>
          <w:szCs w:val="22"/>
          <w:lang w:eastAsia="es-CO"/>
        </w:rPr>
        <w:t>% en promedio</w:t>
      </w:r>
      <w:r w:rsidR="00E04C99" w:rsidRPr="006A57E3">
        <w:rPr>
          <w:rFonts w:ascii="Verdana" w:hAnsi="Verdana" w:cs="Times New Roman"/>
          <w:i w:val="0"/>
          <w:iCs/>
          <w:sz w:val="22"/>
          <w:szCs w:val="22"/>
          <w:lang w:eastAsia="es-CO"/>
        </w:rPr>
        <w:t>,</w:t>
      </w:r>
      <w:r w:rsidRPr="006A57E3">
        <w:rPr>
          <w:rFonts w:ascii="Verdana" w:hAnsi="Verdana" w:cs="Times New Roman"/>
          <w:i w:val="0"/>
          <w:iCs/>
          <w:sz w:val="22"/>
          <w:szCs w:val="22"/>
          <w:lang w:eastAsia="es-CO"/>
        </w:rPr>
        <w:t xml:space="preserve"> lo que refleja una mayor diversificación de activos, en donde la</w:t>
      </w:r>
      <w:r w:rsidRPr="003F2AD2">
        <w:rPr>
          <w:rFonts w:ascii="Verdana" w:hAnsi="Verdana" w:cs="Times New Roman"/>
          <w:i w:val="0"/>
          <w:iCs/>
          <w:sz w:val="22"/>
          <w:szCs w:val="22"/>
          <w:lang w:eastAsia="es-CO"/>
        </w:rPr>
        <w:t xml:space="preserve"> cartera no constituye el componente predominante</w:t>
      </w:r>
      <w:r w:rsidR="006A57E3">
        <w:rPr>
          <w:rFonts w:ascii="Verdana" w:hAnsi="Verdana" w:cs="Times New Roman"/>
          <w:i w:val="0"/>
          <w:iCs/>
          <w:sz w:val="22"/>
          <w:szCs w:val="22"/>
          <w:lang w:eastAsia="es-CO"/>
        </w:rPr>
        <w:t>.</w:t>
      </w:r>
    </w:p>
    <w:p w14:paraId="38C23192" w14:textId="44791AA8" w:rsidR="003F2AD2" w:rsidRDefault="003F2AD2" w:rsidP="003F2AD2">
      <w:pPr>
        <w:pStyle w:val="Sinespaciado"/>
        <w:numPr>
          <w:ilvl w:val="0"/>
          <w:numId w:val="13"/>
        </w:numPr>
        <w:jc w:val="both"/>
        <w:rPr>
          <w:rFonts w:ascii="Verdana" w:hAnsi="Verdana" w:cs="Times New Roman"/>
          <w:i w:val="0"/>
          <w:iCs/>
          <w:sz w:val="22"/>
          <w:szCs w:val="22"/>
          <w:lang w:eastAsia="es-CO"/>
        </w:rPr>
      </w:pPr>
      <w:r w:rsidRPr="003F2AD2">
        <w:rPr>
          <w:rFonts w:ascii="Verdana" w:hAnsi="Verdana" w:cs="Times New Roman"/>
          <w:i w:val="0"/>
          <w:iCs/>
          <w:sz w:val="22"/>
          <w:szCs w:val="22"/>
          <w:lang w:eastAsia="es-CO"/>
        </w:rPr>
        <w:t xml:space="preserve">Las entidades del Nivel </w:t>
      </w:r>
      <w:r>
        <w:rPr>
          <w:rFonts w:ascii="Verdana" w:hAnsi="Verdana" w:cs="Times New Roman"/>
          <w:i w:val="0"/>
          <w:iCs/>
          <w:sz w:val="22"/>
          <w:szCs w:val="22"/>
          <w:lang w:eastAsia="es-CO"/>
        </w:rPr>
        <w:t>2</w:t>
      </w:r>
      <w:r w:rsidRPr="003F2AD2">
        <w:rPr>
          <w:rFonts w:ascii="Verdana" w:hAnsi="Verdana" w:cs="Times New Roman"/>
          <w:i w:val="0"/>
          <w:iCs/>
          <w:sz w:val="22"/>
          <w:szCs w:val="22"/>
          <w:lang w:eastAsia="es-CO"/>
        </w:rPr>
        <w:t xml:space="preserve"> de supervisión presentan una participación de cartera sobre activos del </w:t>
      </w:r>
      <w:r>
        <w:rPr>
          <w:rFonts w:ascii="Verdana" w:hAnsi="Verdana" w:cs="Times New Roman"/>
          <w:i w:val="0"/>
          <w:iCs/>
          <w:sz w:val="22"/>
          <w:szCs w:val="22"/>
          <w:lang w:eastAsia="es-CO"/>
        </w:rPr>
        <w:t>58,1%</w:t>
      </w:r>
      <w:r w:rsidRPr="003F2AD2">
        <w:rPr>
          <w:rFonts w:ascii="Verdana" w:hAnsi="Verdana" w:cs="Times New Roman"/>
          <w:i w:val="0"/>
          <w:iCs/>
          <w:sz w:val="22"/>
          <w:szCs w:val="22"/>
          <w:lang w:eastAsia="es-CO"/>
        </w:rPr>
        <w:t xml:space="preserve"> en promedio</w:t>
      </w:r>
      <w:r>
        <w:rPr>
          <w:rFonts w:ascii="Verdana" w:hAnsi="Verdana" w:cs="Times New Roman"/>
          <w:i w:val="0"/>
          <w:iCs/>
          <w:sz w:val="22"/>
          <w:szCs w:val="22"/>
          <w:lang w:eastAsia="es-CO"/>
        </w:rPr>
        <w:t xml:space="preserve">, indicando una mayor concentración de la cartera, necesaria en su </w:t>
      </w:r>
      <w:r w:rsidRPr="00AA23A2">
        <w:rPr>
          <w:rFonts w:ascii="Verdana" w:hAnsi="Verdana" w:cs="Times New Roman"/>
          <w:i w:val="0"/>
          <w:iCs/>
          <w:sz w:val="22"/>
          <w:szCs w:val="22"/>
          <w:lang w:eastAsia="es-CO"/>
        </w:rPr>
        <w:t>modelo de negocio</w:t>
      </w:r>
      <w:r w:rsidR="006A57E3">
        <w:rPr>
          <w:rFonts w:ascii="Verdana" w:hAnsi="Verdana" w:cs="Times New Roman"/>
          <w:i w:val="0"/>
          <w:iCs/>
          <w:sz w:val="22"/>
          <w:szCs w:val="22"/>
          <w:lang w:eastAsia="es-CO"/>
        </w:rPr>
        <w:t xml:space="preserve">. </w:t>
      </w:r>
    </w:p>
    <w:p w14:paraId="68CCF65E" w14:textId="15CCBAF0" w:rsidR="003F2AD2" w:rsidRPr="00AA23A2" w:rsidRDefault="00AA23A2" w:rsidP="00AA23A2">
      <w:pPr>
        <w:pStyle w:val="Sinespaciado"/>
        <w:numPr>
          <w:ilvl w:val="0"/>
          <w:numId w:val="13"/>
        </w:numPr>
        <w:jc w:val="both"/>
        <w:rPr>
          <w:rFonts w:ascii="Verdana" w:hAnsi="Verdana" w:cs="Times New Roman"/>
          <w:i w:val="0"/>
          <w:iCs/>
          <w:sz w:val="22"/>
          <w:szCs w:val="22"/>
          <w:lang w:eastAsia="es-CO"/>
        </w:rPr>
      </w:pPr>
      <w:r w:rsidRPr="00AA23A2">
        <w:rPr>
          <w:rFonts w:ascii="Verdana" w:hAnsi="Verdana" w:cs="Times New Roman"/>
          <w:i w:val="0"/>
          <w:iCs/>
          <w:sz w:val="22"/>
          <w:szCs w:val="22"/>
          <w:lang w:eastAsia="es-CO"/>
        </w:rPr>
        <w:t>Las entidades del Nivel 3 de supervisión (</w:t>
      </w:r>
      <w:r w:rsidR="00E04C99">
        <w:rPr>
          <w:rFonts w:ascii="Verdana" w:hAnsi="Verdana" w:cs="Times New Roman"/>
          <w:i w:val="0"/>
          <w:iCs/>
          <w:sz w:val="22"/>
          <w:szCs w:val="22"/>
          <w:lang w:eastAsia="es-CO"/>
        </w:rPr>
        <w:t xml:space="preserve">exceptuadas de la aplicación del modelo de referencia </w:t>
      </w:r>
      <w:r w:rsidR="00E04C99" w:rsidRPr="00FC03F5">
        <w:rPr>
          <w:rFonts w:ascii="Verdana" w:hAnsi="Verdana"/>
          <w:i w:val="0"/>
          <w:iCs/>
          <w:sz w:val="22"/>
          <w:szCs w:val="22"/>
        </w:rPr>
        <w:t>para la estimación de las pérdidas esperadas</w:t>
      </w:r>
      <w:r w:rsidRPr="00AA23A2">
        <w:rPr>
          <w:rFonts w:ascii="Verdana" w:hAnsi="Verdana" w:cs="Times New Roman"/>
          <w:i w:val="0"/>
          <w:iCs/>
          <w:sz w:val="22"/>
          <w:szCs w:val="22"/>
          <w:lang w:eastAsia="es-CO"/>
        </w:rPr>
        <w:t>), presentan una participación de cartera sobre activos del 67% en promedio, indicando una concentración significativa de la actividad crediticia, no obstante</w:t>
      </w:r>
      <w:r>
        <w:rPr>
          <w:rFonts w:ascii="Verdana" w:hAnsi="Verdana" w:cs="Times New Roman"/>
          <w:i w:val="0"/>
          <w:iCs/>
          <w:sz w:val="22"/>
          <w:szCs w:val="22"/>
          <w:lang w:eastAsia="es-CO"/>
        </w:rPr>
        <w:t>,</w:t>
      </w:r>
      <w:r w:rsidRPr="00AA23A2">
        <w:rPr>
          <w:rFonts w:ascii="Verdana" w:hAnsi="Verdana" w:cs="Times New Roman"/>
          <w:i w:val="0"/>
          <w:iCs/>
          <w:sz w:val="22"/>
          <w:szCs w:val="22"/>
          <w:lang w:eastAsia="es-CO"/>
        </w:rPr>
        <w:t xml:space="preserve"> registran una </w:t>
      </w:r>
      <w:r w:rsidR="003F2AD2" w:rsidRPr="00AA23A2">
        <w:rPr>
          <w:rFonts w:ascii="Verdana" w:hAnsi="Verdana" w:cs="Times New Roman"/>
          <w:i w:val="0"/>
          <w:iCs/>
          <w:sz w:val="22"/>
          <w:szCs w:val="22"/>
          <w:lang w:eastAsia="es-CO"/>
        </w:rPr>
        <w:t xml:space="preserve">baja participación en la cartera total </w:t>
      </w:r>
      <w:r w:rsidRPr="00AA23A2">
        <w:rPr>
          <w:rFonts w:ascii="Verdana" w:hAnsi="Verdana" w:cs="Times New Roman"/>
          <w:i w:val="0"/>
          <w:iCs/>
          <w:sz w:val="22"/>
          <w:szCs w:val="22"/>
          <w:lang w:eastAsia="es-CO"/>
        </w:rPr>
        <w:t xml:space="preserve">de sólo el </w:t>
      </w:r>
      <w:r w:rsidR="003F2AD2" w:rsidRPr="00AA23A2">
        <w:rPr>
          <w:rFonts w:ascii="Verdana" w:hAnsi="Verdana" w:cs="Times New Roman"/>
          <w:i w:val="0"/>
          <w:iCs/>
          <w:sz w:val="22"/>
          <w:szCs w:val="22"/>
          <w:lang w:eastAsia="es-CO"/>
        </w:rPr>
        <w:t>15,90%</w:t>
      </w:r>
      <w:r w:rsidRPr="00AA23A2">
        <w:rPr>
          <w:rFonts w:ascii="Verdana" w:hAnsi="Verdana" w:cs="Times New Roman"/>
          <w:i w:val="0"/>
          <w:iCs/>
          <w:sz w:val="22"/>
          <w:szCs w:val="22"/>
          <w:lang w:eastAsia="es-CO"/>
        </w:rPr>
        <w:t xml:space="preserve">, </w:t>
      </w:r>
      <w:r>
        <w:rPr>
          <w:rFonts w:ascii="Verdana" w:hAnsi="Verdana" w:cs="Times New Roman"/>
          <w:i w:val="0"/>
          <w:iCs/>
          <w:sz w:val="22"/>
          <w:szCs w:val="22"/>
          <w:lang w:eastAsia="es-CO"/>
        </w:rPr>
        <w:t xml:space="preserve">sin generar un impacto </w:t>
      </w:r>
      <w:r w:rsidR="006A57E3">
        <w:rPr>
          <w:rFonts w:ascii="Verdana" w:hAnsi="Verdana" w:cs="Times New Roman"/>
          <w:i w:val="0"/>
          <w:iCs/>
          <w:sz w:val="22"/>
          <w:szCs w:val="22"/>
          <w:lang w:eastAsia="es-CO"/>
        </w:rPr>
        <w:t xml:space="preserve">en el segmento objeto de estudio. </w:t>
      </w:r>
    </w:p>
    <w:p w14:paraId="30A2ADC7" w14:textId="6BF17FBC" w:rsidR="003F2AD2" w:rsidRDefault="003F2AD2" w:rsidP="000F2D06">
      <w:pPr>
        <w:jc w:val="both"/>
      </w:pPr>
    </w:p>
    <w:p w14:paraId="78E495C1" w14:textId="6B262609" w:rsidR="00E87A76" w:rsidRDefault="00ED50FC" w:rsidP="000F2D06">
      <w:pPr>
        <w:jc w:val="both"/>
        <w:rPr>
          <w:rFonts w:ascii="Verdana" w:hAnsi="Verdana" w:cs="Times New Roman"/>
          <w:i w:val="0"/>
          <w:iCs/>
          <w:sz w:val="22"/>
          <w:szCs w:val="22"/>
          <w:lang w:eastAsia="es-CO"/>
        </w:rPr>
      </w:pPr>
      <w:r w:rsidRPr="00396955">
        <w:rPr>
          <w:rFonts w:ascii="Verdana" w:hAnsi="Verdana"/>
          <w:i w:val="0"/>
          <w:iCs/>
          <w:sz w:val="22"/>
          <w:szCs w:val="22"/>
        </w:rPr>
        <w:t xml:space="preserve">Este análisis permite establecer que sobre las entidades de Nivel 1 de supervisión, que concentran el mayor volumen de cartera, pero que corresponden a </w:t>
      </w:r>
      <w:r w:rsidR="00E04C99">
        <w:rPr>
          <w:rFonts w:ascii="Verdana" w:hAnsi="Verdana"/>
          <w:i w:val="0"/>
          <w:iCs/>
          <w:sz w:val="22"/>
          <w:szCs w:val="22"/>
        </w:rPr>
        <w:t>55</w:t>
      </w:r>
      <w:r w:rsidRPr="00396955">
        <w:rPr>
          <w:rFonts w:ascii="Verdana" w:hAnsi="Verdana"/>
          <w:i w:val="0"/>
          <w:iCs/>
          <w:sz w:val="22"/>
          <w:szCs w:val="22"/>
        </w:rPr>
        <w:t xml:space="preserve"> empresas solidarias supervisadas, es decir, sólo el </w:t>
      </w:r>
      <w:r w:rsidR="00E04C99">
        <w:rPr>
          <w:rFonts w:ascii="Verdana" w:hAnsi="Verdana"/>
          <w:i w:val="0"/>
          <w:iCs/>
          <w:sz w:val="22"/>
          <w:szCs w:val="22"/>
        </w:rPr>
        <w:t>6,2</w:t>
      </w:r>
      <w:r w:rsidRPr="00396955">
        <w:rPr>
          <w:rFonts w:ascii="Verdana" w:hAnsi="Verdana"/>
          <w:i w:val="0"/>
          <w:iCs/>
          <w:sz w:val="22"/>
          <w:szCs w:val="22"/>
        </w:rPr>
        <w:t xml:space="preserve">% del total de organizaciones, </w:t>
      </w:r>
      <w:r w:rsidR="00396955" w:rsidRPr="00396955">
        <w:rPr>
          <w:rFonts w:ascii="Verdana" w:hAnsi="Verdana"/>
          <w:i w:val="0"/>
          <w:iCs/>
          <w:sz w:val="22"/>
          <w:szCs w:val="22"/>
        </w:rPr>
        <w:t xml:space="preserve">requiere la </w:t>
      </w:r>
      <w:r w:rsidR="00FC03F5" w:rsidRPr="00396955">
        <w:rPr>
          <w:rFonts w:ascii="Verdana" w:hAnsi="Verdana"/>
          <w:i w:val="0"/>
          <w:iCs/>
          <w:sz w:val="22"/>
          <w:szCs w:val="22"/>
        </w:rPr>
        <w:t xml:space="preserve">implementación de una agenda </w:t>
      </w:r>
      <w:r w:rsidR="00396955" w:rsidRPr="00396955">
        <w:rPr>
          <w:rFonts w:ascii="Verdana" w:hAnsi="Verdana"/>
          <w:i w:val="0"/>
          <w:iCs/>
          <w:sz w:val="22"/>
          <w:szCs w:val="22"/>
        </w:rPr>
        <w:t xml:space="preserve">focalizada </w:t>
      </w:r>
      <w:r w:rsidR="00FC03F5" w:rsidRPr="00396955">
        <w:rPr>
          <w:rFonts w:ascii="Verdana" w:hAnsi="Verdana"/>
          <w:i w:val="0"/>
          <w:iCs/>
          <w:sz w:val="22"/>
          <w:szCs w:val="22"/>
        </w:rPr>
        <w:t>de acompañamiento y socialización</w:t>
      </w:r>
      <w:r w:rsidR="00396955" w:rsidRPr="00396955">
        <w:rPr>
          <w:rFonts w:ascii="Verdana" w:hAnsi="Verdana"/>
          <w:i w:val="0"/>
          <w:iCs/>
          <w:sz w:val="22"/>
          <w:szCs w:val="22"/>
        </w:rPr>
        <w:t xml:space="preserve"> de acciones de supervisión que promuevan una mejor gestión del riesgo </w:t>
      </w:r>
      <w:r w:rsidR="006A57E3">
        <w:rPr>
          <w:rFonts w:ascii="Verdana" w:hAnsi="Verdana"/>
          <w:i w:val="0"/>
          <w:iCs/>
          <w:sz w:val="22"/>
          <w:szCs w:val="22"/>
        </w:rPr>
        <w:t>crediticio</w:t>
      </w:r>
      <w:r w:rsidR="00396955" w:rsidRPr="00396955">
        <w:rPr>
          <w:rFonts w:ascii="Verdana" w:hAnsi="Verdana"/>
          <w:i w:val="0"/>
          <w:iCs/>
          <w:sz w:val="22"/>
          <w:szCs w:val="22"/>
        </w:rPr>
        <w:t>, con su consecuente impacto en el deterioro de la cartera de créditos. No obstante</w:t>
      </w:r>
      <w:r w:rsidR="00E04C99">
        <w:rPr>
          <w:rFonts w:ascii="Verdana" w:hAnsi="Verdana"/>
          <w:i w:val="0"/>
          <w:iCs/>
          <w:sz w:val="22"/>
          <w:szCs w:val="22"/>
        </w:rPr>
        <w:t>,</w:t>
      </w:r>
      <w:r w:rsidR="00396955" w:rsidRPr="00396955">
        <w:rPr>
          <w:rFonts w:ascii="Verdana" w:hAnsi="Verdana"/>
          <w:i w:val="0"/>
          <w:iCs/>
          <w:sz w:val="22"/>
          <w:szCs w:val="22"/>
        </w:rPr>
        <w:t xml:space="preserve"> por el bajo número de organizaciones, </w:t>
      </w:r>
      <w:r w:rsidR="00057D76">
        <w:rPr>
          <w:rFonts w:ascii="Verdana" w:hAnsi="Verdana"/>
          <w:i w:val="0"/>
          <w:iCs/>
          <w:sz w:val="22"/>
          <w:szCs w:val="22"/>
        </w:rPr>
        <w:t xml:space="preserve">no </w:t>
      </w:r>
      <w:r w:rsidR="00396955" w:rsidRPr="00396955">
        <w:rPr>
          <w:rFonts w:ascii="Verdana" w:hAnsi="Verdana"/>
          <w:i w:val="0"/>
          <w:iCs/>
          <w:sz w:val="22"/>
          <w:szCs w:val="22"/>
        </w:rPr>
        <w:t xml:space="preserve">es </w:t>
      </w:r>
      <w:r w:rsidR="00057D76">
        <w:rPr>
          <w:rFonts w:ascii="Verdana" w:hAnsi="Verdana"/>
          <w:i w:val="0"/>
          <w:iCs/>
          <w:sz w:val="22"/>
          <w:szCs w:val="22"/>
        </w:rPr>
        <w:t>dable aplicar</w:t>
      </w:r>
      <w:r w:rsidR="00396955">
        <w:rPr>
          <w:rFonts w:ascii="Verdana" w:hAnsi="Verdana"/>
          <w:i w:val="0"/>
          <w:iCs/>
          <w:sz w:val="22"/>
          <w:szCs w:val="22"/>
        </w:rPr>
        <w:t xml:space="preserve"> el modelo de</w:t>
      </w:r>
      <w:r w:rsidR="006A57E3">
        <w:rPr>
          <w:rFonts w:ascii="Verdana" w:hAnsi="Verdana"/>
          <w:i w:val="0"/>
          <w:iCs/>
          <w:sz w:val="22"/>
          <w:szCs w:val="22"/>
        </w:rPr>
        <w:t xml:space="preserve"> </w:t>
      </w:r>
      <w:r w:rsidR="006A57E3" w:rsidRPr="000C754E">
        <w:rPr>
          <w:rFonts w:ascii="Verdana" w:hAnsi="Verdana" w:cs="Times New Roman"/>
          <w:i w:val="0"/>
          <w:iCs/>
          <w:sz w:val="22"/>
          <w:szCs w:val="22"/>
          <w:lang w:eastAsia="es-CO"/>
        </w:rPr>
        <w:t>referencia para la estimación de las pérdidas esperadas</w:t>
      </w:r>
      <w:r w:rsidR="006A57E3">
        <w:rPr>
          <w:rFonts w:ascii="Verdana" w:hAnsi="Verdana" w:cs="Times New Roman"/>
          <w:i w:val="0"/>
          <w:iCs/>
          <w:sz w:val="22"/>
          <w:szCs w:val="22"/>
          <w:lang w:eastAsia="es-CO"/>
        </w:rPr>
        <w:t>.</w:t>
      </w:r>
    </w:p>
    <w:p w14:paraId="318E15CA" w14:textId="77777777" w:rsidR="006A57E3" w:rsidRDefault="006A57E3" w:rsidP="000F2D06">
      <w:pPr>
        <w:jc w:val="both"/>
        <w:rPr>
          <w:rFonts w:ascii="Verdana" w:hAnsi="Verdana"/>
          <w:i w:val="0"/>
          <w:iCs/>
          <w:sz w:val="22"/>
          <w:szCs w:val="22"/>
        </w:rPr>
      </w:pPr>
    </w:p>
    <w:p w14:paraId="0BD86289" w14:textId="56C24FBE" w:rsidR="00E87A76" w:rsidRDefault="00E87A76" w:rsidP="000F2D06">
      <w:pPr>
        <w:jc w:val="both"/>
        <w:rPr>
          <w:rFonts w:ascii="Verdana" w:hAnsi="Verdana"/>
          <w:i w:val="0"/>
          <w:iCs/>
          <w:sz w:val="22"/>
          <w:szCs w:val="22"/>
        </w:rPr>
      </w:pPr>
      <w:r w:rsidRPr="006A57E3">
        <w:rPr>
          <w:rFonts w:ascii="Verdana" w:hAnsi="Verdana"/>
          <w:i w:val="0"/>
          <w:iCs/>
          <w:sz w:val="22"/>
          <w:szCs w:val="22"/>
        </w:rPr>
        <w:t xml:space="preserve">Adicionalmente las cooperativas diferentes a las de ahorro y crédito </w:t>
      </w:r>
      <w:r w:rsidRPr="006A57E3">
        <w:rPr>
          <w:rFonts w:ascii="Verdana" w:hAnsi="Verdana"/>
          <w:sz w:val="22"/>
          <w:szCs w:val="22"/>
        </w:rPr>
        <w:t>(</w:t>
      </w:r>
      <w:proofErr w:type="spellStart"/>
      <w:r w:rsidRPr="006A57E3">
        <w:rPr>
          <w:rFonts w:ascii="Verdana" w:hAnsi="Verdana"/>
          <w:sz w:val="22"/>
          <w:szCs w:val="22"/>
        </w:rPr>
        <w:t>CDAC´s</w:t>
      </w:r>
      <w:proofErr w:type="spellEnd"/>
      <w:r w:rsidRPr="006A57E3">
        <w:rPr>
          <w:rFonts w:ascii="Verdana" w:hAnsi="Verdana"/>
          <w:sz w:val="22"/>
          <w:szCs w:val="22"/>
        </w:rPr>
        <w:t>)</w:t>
      </w:r>
      <w:r w:rsidRPr="006A57E3">
        <w:rPr>
          <w:rFonts w:ascii="Verdana" w:hAnsi="Verdana"/>
          <w:i w:val="0"/>
          <w:iCs/>
          <w:sz w:val="22"/>
          <w:szCs w:val="22"/>
        </w:rPr>
        <w:t xml:space="preserve"> no realizan captación de recursos de sus asociados, y por tanto no presentan apalancamiento derivado de depósitos, su estructura de operación se fundamenta en otras fuentes. En este contexto, considerando que uno de los objetivos principales del modelo </w:t>
      </w:r>
      <w:r w:rsidR="00D635A6" w:rsidRPr="000C754E">
        <w:rPr>
          <w:rFonts w:ascii="Verdana" w:hAnsi="Verdana" w:cs="Times New Roman"/>
          <w:i w:val="0"/>
          <w:iCs/>
          <w:sz w:val="22"/>
          <w:szCs w:val="22"/>
          <w:lang w:eastAsia="es-CO"/>
        </w:rPr>
        <w:t>de referencia para la estimación de las pérdidas esperadas</w:t>
      </w:r>
      <w:r w:rsidR="00D635A6" w:rsidRPr="006A57E3">
        <w:rPr>
          <w:rFonts w:ascii="Verdana" w:hAnsi="Verdana"/>
          <w:i w:val="0"/>
          <w:iCs/>
          <w:sz w:val="22"/>
          <w:szCs w:val="22"/>
        </w:rPr>
        <w:t xml:space="preserve"> </w:t>
      </w:r>
      <w:r w:rsidRPr="006A57E3">
        <w:rPr>
          <w:rFonts w:ascii="Verdana" w:hAnsi="Verdana"/>
          <w:i w:val="0"/>
          <w:iCs/>
          <w:sz w:val="22"/>
          <w:szCs w:val="22"/>
        </w:rPr>
        <w:t xml:space="preserve">es la gestión y mitigación del riesgo asociado a la eventual pérdida de los recursos captados (ahorros), </w:t>
      </w:r>
      <w:r w:rsidR="00D635A6">
        <w:rPr>
          <w:rFonts w:ascii="Verdana" w:hAnsi="Verdana"/>
          <w:i w:val="0"/>
          <w:iCs/>
          <w:sz w:val="22"/>
          <w:szCs w:val="22"/>
        </w:rPr>
        <w:t xml:space="preserve">no </w:t>
      </w:r>
      <w:r w:rsidRPr="006A57E3">
        <w:rPr>
          <w:rFonts w:ascii="Verdana" w:hAnsi="Verdana"/>
          <w:i w:val="0"/>
          <w:iCs/>
          <w:sz w:val="22"/>
          <w:szCs w:val="22"/>
        </w:rPr>
        <w:t xml:space="preserve">resulta necesario la aplicación del </w:t>
      </w:r>
      <w:r w:rsidR="00D635A6">
        <w:rPr>
          <w:rFonts w:ascii="Verdana" w:hAnsi="Verdana"/>
          <w:i w:val="0"/>
          <w:iCs/>
          <w:sz w:val="22"/>
          <w:szCs w:val="22"/>
        </w:rPr>
        <w:t xml:space="preserve">mismo dada la naturaleza, </w:t>
      </w:r>
      <w:r w:rsidRPr="006A57E3">
        <w:rPr>
          <w:rFonts w:ascii="Verdana" w:hAnsi="Verdana"/>
          <w:i w:val="0"/>
          <w:iCs/>
          <w:sz w:val="22"/>
          <w:szCs w:val="22"/>
        </w:rPr>
        <w:t xml:space="preserve">heterogeneidad de las operaciones y las fuentes de financiación propias de </w:t>
      </w:r>
      <w:r w:rsidR="00D635A6">
        <w:rPr>
          <w:rFonts w:ascii="Verdana" w:hAnsi="Verdana"/>
          <w:i w:val="0"/>
          <w:iCs/>
          <w:sz w:val="22"/>
          <w:szCs w:val="22"/>
        </w:rPr>
        <w:t xml:space="preserve">estas entidades. </w:t>
      </w:r>
    </w:p>
    <w:p w14:paraId="154427FD" w14:textId="7DA325B5" w:rsidR="00FC4A28" w:rsidRPr="00CF1418" w:rsidRDefault="00FC4A28" w:rsidP="00FC4A28">
      <w:pPr>
        <w:jc w:val="both"/>
        <w:rPr>
          <w:rFonts w:ascii="Verdana" w:hAnsi="Verdana"/>
          <w:i w:val="0"/>
          <w:iCs/>
          <w:lang w:eastAsia="es-CO"/>
        </w:rPr>
      </w:pPr>
      <w:r w:rsidRPr="00B554C1">
        <w:rPr>
          <w:rFonts w:ascii="Verdana" w:hAnsi="Verdana"/>
          <w:i w:val="0"/>
          <w:iCs/>
          <w:color w:val="000000"/>
          <w:sz w:val="22"/>
          <w:szCs w:val="22"/>
          <w:lang w:eastAsia="es-CO"/>
        </w:rPr>
        <w:lastRenderedPageBreak/>
        <w:t>Lo anterior no obsta para que la Superintendencia, en ejercicio de sus funciones de supervisión, haga revisiones posteriores y ordene, de ser necesario, las modificaciones o inclusiones dentro de la aplicación del modelo de</w:t>
      </w:r>
      <w:r w:rsidR="00B554C1" w:rsidRPr="00B554C1">
        <w:rPr>
          <w:rFonts w:ascii="Verdana" w:hAnsi="Verdana" w:cs="Times New Roman"/>
          <w:i w:val="0"/>
          <w:iCs/>
          <w:sz w:val="22"/>
          <w:szCs w:val="22"/>
          <w:lang w:eastAsia="es-CO"/>
        </w:rPr>
        <w:t xml:space="preserve"> referencia para la estimación de las pérdidas esperadas</w:t>
      </w:r>
      <w:r w:rsidR="00B554C1" w:rsidRPr="00B554C1">
        <w:rPr>
          <w:rFonts w:ascii="Verdana" w:hAnsi="Verdana"/>
          <w:i w:val="0"/>
          <w:iCs/>
          <w:color w:val="000000"/>
          <w:sz w:val="22"/>
          <w:szCs w:val="22"/>
          <w:lang w:eastAsia="es-CO"/>
        </w:rPr>
        <w:t xml:space="preserve"> </w:t>
      </w:r>
      <w:r w:rsidRPr="00B554C1">
        <w:rPr>
          <w:rFonts w:ascii="Verdana" w:hAnsi="Verdana"/>
          <w:i w:val="0"/>
          <w:iCs/>
          <w:color w:val="000000"/>
          <w:sz w:val="22"/>
          <w:szCs w:val="22"/>
          <w:lang w:eastAsia="es-CO"/>
        </w:rPr>
        <w:t>a las entidades del sector solidari</w:t>
      </w:r>
      <w:r w:rsidR="00B554C1">
        <w:rPr>
          <w:rFonts w:ascii="Verdana" w:hAnsi="Verdana"/>
          <w:i w:val="0"/>
          <w:iCs/>
          <w:color w:val="000000"/>
          <w:sz w:val="22"/>
          <w:szCs w:val="22"/>
          <w:lang w:eastAsia="es-CO"/>
        </w:rPr>
        <w:t>o</w:t>
      </w:r>
      <w:r w:rsidRPr="00B554C1">
        <w:rPr>
          <w:rFonts w:ascii="Verdana" w:hAnsi="Verdana"/>
          <w:i w:val="0"/>
          <w:iCs/>
          <w:color w:val="000000"/>
          <w:sz w:val="22"/>
          <w:szCs w:val="22"/>
          <w:lang w:eastAsia="es-CO"/>
        </w:rPr>
        <w:t xml:space="preserve"> que considere pertinentes.</w:t>
      </w:r>
      <w:r w:rsidRPr="00CF1418">
        <w:rPr>
          <w:rFonts w:ascii="Verdana" w:hAnsi="Verdana"/>
          <w:i w:val="0"/>
          <w:iCs/>
          <w:color w:val="000000"/>
          <w:sz w:val="22"/>
          <w:szCs w:val="22"/>
          <w:lang w:eastAsia="es-CO"/>
        </w:rPr>
        <w:t> </w:t>
      </w:r>
    </w:p>
    <w:p w14:paraId="5DEAB94B" w14:textId="014B3CF6" w:rsidR="00004C87" w:rsidRPr="00396955" w:rsidRDefault="00004C87" w:rsidP="000F2D06">
      <w:pPr>
        <w:jc w:val="both"/>
        <w:rPr>
          <w:rFonts w:ascii="Verdana" w:hAnsi="Verdana"/>
          <w:sz w:val="22"/>
          <w:szCs w:val="22"/>
        </w:rPr>
      </w:pPr>
    </w:p>
    <w:p w14:paraId="4DBCC4D1" w14:textId="02B045C5"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t>Por lo anterior, esta Superintendencia en ejercicio de las facultades legales conferidas en el numeral 22 del artículo 36 de la Ley 454 de 1998, imparte las siguientes instrucciones: </w:t>
      </w:r>
    </w:p>
    <w:p w14:paraId="5DD7739F" w14:textId="77777777" w:rsidR="000F2D06" w:rsidRPr="000F2D06" w:rsidRDefault="000F2D06" w:rsidP="000F2D06">
      <w:pPr>
        <w:jc w:val="both"/>
        <w:rPr>
          <w:rFonts w:ascii="Verdana" w:hAnsi="Verdana"/>
          <w:i w:val="0"/>
          <w:iCs/>
          <w:sz w:val="22"/>
          <w:szCs w:val="22"/>
        </w:rPr>
      </w:pPr>
    </w:p>
    <w:p w14:paraId="0A562777" w14:textId="32318510" w:rsidR="00370384" w:rsidRDefault="000F2D06" w:rsidP="000F2D06">
      <w:pPr>
        <w:jc w:val="both"/>
        <w:rPr>
          <w:rFonts w:ascii="Verdana" w:hAnsi="Verdana"/>
          <w:i w:val="0"/>
          <w:iCs/>
          <w:sz w:val="22"/>
          <w:szCs w:val="22"/>
        </w:rPr>
      </w:pPr>
      <w:r w:rsidRPr="000F2D06">
        <w:rPr>
          <w:rFonts w:ascii="Verdana" w:hAnsi="Verdana"/>
          <w:b/>
          <w:bCs/>
          <w:i w:val="0"/>
          <w:iCs/>
          <w:sz w:val="22"/>
          <w:szCs w:val="22"/>
        </w:rPr>
        <w:t xml:space="preserve">PRIMERA: Modificar </w:t>
      </w:r>
      <w:r w:rsidRPr="000F2D06">
        <w:rPr>
          <w:rFonts w:ascii="Verdana" w:hAnsi="Verdana"/>
          <w:i w:val="0"/>
          <w:iCs/>
          <w:sz w:val="22"/>
          <w:szCs w:val="22"/>
        </w:rPr>
        <w:t xml:space="preserve">el </w:t>
      </w:r>
      <w:r w:rsidR="00030575">
        <w:rPr>
          <w:rFonts w:ascii="Verdana" w:hAnsi="Verdana"/>
          <w:i w:val="0"/>
          <w:iCs/>
          <w:sz w:val="22"/>
          <w:szCs w:val="22"/>
        </w:rPr>
        <w:t>numeral 2</w:t>
      </w:r>
      <w:r w:rsidR="00370384">
        <w:rPr>
          <w:rFonts w:ascii="Verdana" w:hAnsi="Verdana"/>
          <w:i w:val="0"/>
          <w:iCs/>
          <w:sz w:val="22"/>
          <w:szCs w:val="22"/>
        </w:rPr>
        <w:t xml:space="preserve"> del capítulo II, Título IV de la</w:t>
      </w:r>
      <w:r w:rsidRPr="000F2D06">
        <w:rPr>
          <w:rFonts w:ascii="Verdana" w:hAnsi="Verdana"/>
          <w:i w:val="0"/>
          <w:iCs/>
          <w:sz w:val="22"/>
          <w:szCs w:val="22"/>
        </w:rPr>
        <w:t xml:space="preserve"> Circular Básica </w:t>
      </w:r>
      <w:r w:rsidR="00370384">
        <w:rPr>
          <w:rFonts w:ascii="Verdana" w:hAnsi="Verdana"/>
          <w:i w:val="0"/>
          <w:iCs/>
          <w:sz w:val="22"/>
          <w:szCs w:val="22"/>
        </w:rPr>
        <w:t xml:space="preserve">Contable y Financiera </w:t>
      </w:r>
      <w:r w:rsidRPr="000F2D06">
        <w:rPr>
          <w:rFonts w:ascii="Verdana" w:hAnsi="Verdana"/>
          <w:i w:val="0"/>
          <w:iCs/>
          <w:sz w:val="22"/>
          <w:szCs w:val="22"/>
        </w:rPr>
        <w:t xml:space="preserve">del 2020, el cual quedará así: </w:t>
      </w:r>
    </w:p>
    <w:p w14:paraId="509104E6" w14:textId="77777777" w:rsidR="00370384" w:rsidRDefault="00370384" w:rsidP="000F2D06">
      <w:pPr>
        <w:jc w:val="both"/>
        <w:rPr>
          <w:rFonts w:ascii="Verdana" w:hAnsi="Verdana"/>
          <w:i w:val="0"/>
          <w:iCs/>
          <w:sz w:val="22"/>
          <w:szCs w:val="22"/>
        </w:rPr>
      </w:pPr>
    </w:p>
    <w:p w14:paraId="004E11A2" w14:textId="77777777" w:rsidR="00370384" w:rsidRPr="006F7517" w:rsidRDefault="000F2D06" w:rsidP="006F7517">
      <w:pPr>
        <w:ind w:left="284" w:right="51"/>
        <w:jc w:val="both"/>
        <w:rPr>
          <w:rFonts w:ascii="Verdana" w:hAnsi="Verdana" w:cstheme="minorBidi"/>
          <w:i w:val="0"/>
          <w:sz w:val="22"/>
          <w:szCs w:val="22"/>
          <w:lang w:eastAsia="en-US"/>
        </w:rPr>
      </w:pPr>
      <w:r w:rsidRPr="006F7517">
        <w:rPr>
          <w:rFonts w:ascii="Verdana" w:hAnsi="Verdana"/>
          <w:i w:val="0"/>
          <w:iCs/>
          <w:sz w:val="22"/>
          <w:szCs w:val="22"/>
        </w:rPr>
        <w:t>“</w:t>
      </w:r>
      <w:r w:rsidR="00370384" w:rsidRPr="006F7517">
        <w:rPr>
          <w:rFonts w:ascii="Verdana" w:hAnsi="Verdana"/>
          <w:sz w:val="22"/>
          <w:szCs w:val="22"/>
        </w:rPr>
        <w:t xml:space="preserve">2 ÁMBITO DE APLICACIÓN DEL SARC </w:t>
      </w:r>
    </w:p>
    <w:p w14:paraId="4E071EDC" w14:textId="2F7BBA92" w:rsidR="00370384" w:rsidRPr="006F7517" w:rsidRDefault="00370384" w:rsidP="006F7517">
      <w:pPr>
        <w:ind w:left="284" w:right="51"/>
        <w:jc w:val="both"/>
        <w:rPr>
          <w:rFonts w:ascii="Verdana" w:hAnsi="Verdana"/>
          <w:sz w:val="22"/>
          <w:szCs w:val="22"/>
        </w:rPr>
      </w:pPr>
      <w:r w:rsidRPr="006F7517">
        <w:rPr>
          <w:rFonts w:ascii="Verdana" w:hAnsi="Verdana"/>
          <w:sz w:val="22"/>
          <w:szCs w:val="22"/>
        </w:rPr>
        <w:t xml:space="preserve">Las instrucciones contenidas en el presente capítulo deberán ser aplicadas por todas las organizaciones solidarias supervisadas, que tengan cartera de crédito, con el propósito de identificar, medir, controlar y monitorear el riesgo de crédito al cual se encuentran expuestas en el desarrollo de su proceso de crédito. Los modelos de referencia para el cálculo de la pérdida esperada, mencionados en el numeral 5.3. de este capítulo, deben ser aplicados por las cooperativas de ahorro y crédito, multiactivas e integrales con sección de ahorro y crédito, los fondos de </w:t>
      </w:r>
      <w:r w:rsidR="00B554C1" w:rsidRPr="006F7517">
        <w:rPr>
          <w:rFonts w:ascii="Verdana" w:hAnsi="Verdana"/>
          <w:sz w:val="22"/>
          <w:szCs w:val="22"/>
        </w:rPr>
        <w:t>e</w:t>
      </w:r>
      <w:r w:rsidRPr="006F7517">
        <w:rPr>
          <w:rFonts w:ascii="Verdana" w:hAnsi="Verdana"/>
          <w:sz w:val="22"/>
          <w:szCs w:val="22"/>
        </w:rPr>
        <w:t>mpleados de categoría plena y</w:t>
      </w:r>
      <w:r w:rsidR="00B554C1" w:rsidRPr="006F7517">
        <w:rPr>
          <w:rFonts w:ascii="Verdana" w:hAnsi="Verdana"/>
          <w:sz w:val="22"/>
          <w:szCs w:val="22"/>
        </w:rPr>
        <w:t xml:space="preserve"> las </w:t>
      </w:r>
      <w:r w:rsidRPr="006F7517">
        <w:rPr>
          <w:rFonts w:ascii="Verdana" w:hAnsi="Verdana"/>
          <w:sz w:val="22"/>
          <w:szCs w:val="22"/>
        </w:rPr>
        <w:t xml:space="preserve">asociaciones mutuales que presten los servicios de </w:t>
      </w:r>
      <w:r w:rsidR="00057D76" w:rsidRPr="006F7517">
        <w:rPr>
          <w:rFonts w:ascii="Verdana" w:hAnsi="Verdana"/>
          <w:sz w:val="22"/>
          <w:szCs w:val="22"/>
        </w:rPr>
        <w:t>ahorro y crédito.</w:t>
      </w:r>
    </w:p>
    <w:p w14:paraId="0237C1CF" w14:textId="77777777" w:rsidR="00370384" w:rsidRPr="006F7517" w:rsidRDefault="00370384" w:rsidP="006F7517">
      <w:pPr>
        <w:ind w:left="284" w:right="51"/>
        <w:jc w:val="both"/>
        <w:rPr>
          <w:rFonts w:ascii="Verdana" w:hAnsi="Verdana"/>
          <w:sz w:val="22"/>
          <w:szCs w:val="22"/>
        </w:rPr>
      </w:pPr>
    </w:p>
    <w:p w14:paraId="3012C292" w14:textId="6BAFAD66" w:rsidR="00370384" w:rsidRPr="006F7517" w:rsidRDefault="00370384" w:rsidP="006F7517">
      <w:pPr>
        <w:ind w:left="284" w:right="51"/>
        <w:jc w:val="both"/>
        <w:rPr>
          <w:rFonts w:ascii="Verdana" w:hAnsi="Verdana"/>
          <w:sz w:val="22"/>
          <w:szCs w:val="22"/>
        </w:rPr>
      </w:pPr>
      <w:r w:rsidRPr="006F7517">
        <w:rPr>
          <w:rFonts w:ascii="Verdana" w:hAnsi="Verdana"/>
          <w:sz w:val="22"/>
          <w:szCs w:val="22"/>
        </w:rPr>
        <w:t>Las demás organizaciones solidarias vigiladas, deberán seguir calificando y constituyendo el deterioro por altura de mora con factor de riesgo, según las disposiciones contenidas en el Anexo 1 del presente capítulo.”</w:t>
      </w:r>
    </w:p>
    <w:p w14:paraId="73C20ECA" w14:textId="77777777" w:rsidR="000F2D06" w:rsidRPr="000F2D06" w:rsidRDefault="000F2D06" w:rsidP="000F2D06">
      <w:pPr>
        <w:jc w:val="both"/>
        <w:rPr>
          <w:rFonts w:ascii="Verdana" w:hAnsi="Verdana"/>
          <w:i w:val="0"/>
          <w:iCs/>
          <w:sz w:val="22"/>
          <w:szCs w:val="22"/>
        </w:rPr>
      </w:pPr>
    </w:p>
    <w:p w14:paraId="76BE4029" w14:textId="1DB0A62F"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 xml:space="preserve">SEGUNDA:  </w:t>
      </w:r>
      <w:r w:rsidR="00370384" w:rsidRPr="000F2D06">
        <w:rPr>
          <w:rFonts w:ascii="Verdana" w:hAnsi="Verdana"/>
          <w:b/>
          <w:bCs/>
          <w:i w:val="0"/>
          <w:iCs/>
          <w:sz w:val="22"/>
          <w:szCs w:val="22"/>
        </w:rPr>
        <w:t>Modificar</w:t>
      </w:r>
      <w:r w:rsidR="00057D76">
        <w:rPr>
          <w:rFonts w:ascii="Verdana" w:hAnsi="Verdana"/>
          <w:b/>
          <w:bCs/>
          <w:i w:val="0"/>
          <w:iCs/>
          <w:sz w:val="22"/>
          <w:szCs w:val="22"/>
        </w:rPr>
        <w:t xml:space="preserve"> </w:t>
      </w:r>
      <w:r w:rsidR="00057D76" w:rsidRPr="00FE301E">
        <w:rPr>
          <w:rFonts w:ascii="Verdana" w:hAnsi="Verdana"/>
          <w:i w:val="0"/>
          <w:iCs/>
          <w:sz w:val="22"/>
          <w:szCs w:val="22"/>
        </w:rPr>
        <w:t>las tablas</w:t>
      </w:r>
      <w:r w:rsidR="00057D76">
        <w:rPr>
          <w:rFonts w:ascii="Verdana" w:hAnsi="Verdana"/>
          <w:b/>
          <w:bCs/>
          <w:i w:val="0"/>
          <w:iCs/>
          <w:sz w:val="22"/>
          <w:szCs w:val="22"/>
        </w:rPr>
        <w:t xml:space="preserve"> </w:t>
      </w:r>
      <w:r w:rsidR="00370384">
        <w:rPr>
          <w:rFonts w:ascii="Verdana" w:hAnsi="Verdana"/>
          <w:i w:val="0"/>
          <w:iCs/>
          <w:sz w:val="22"/>
          <w:szCs w:val="22"/>
        </w:rPr>
        <w:t>establecid</w:t>
      </w:r>
      <w:r w:rsidR="00057D76">
        <w:rPr>
          <w:rFonts w:ascii="Verdana" w:hAnsi="Verdana"/>
          <w:i w:val="0"/>
          <w:iCs/>
          <w:sz w:val="22"/>
          <w:szCs w:val="22"/>
        </w:rPr>
        <w:t>a</w:t>
      </w:r>
      <w:r w:rsidR="00370384">
        <w:rPr>
          <w:rFonts w:ascii="Verdana" w:hAnsi="Verdana"/>
          <w:i w:val="0"/>
          <w:iCs/>
          <w:sz w:val="22"/>
          <w:szCs w:val="22"/>
        </w:rPr>
        <w:t>s en los numeral</w:t>
      </w:r>
      <w:r w:rsidR="00057D76">
        <w:rPr>
          <w:rFonts w:ascii="Verdana" w:hAnsi="Verdana"/>
          <w:i w:val="0"/>
          <w:iCs/>
          <w:sz w:val="22"/>
          <w:szCs w:val="22"/>
        </w:rPr>
        <w:t>es</w:t>
      </w:r>
      <w:r w:rsidR="00370384">
        <w:rPr>
          <w:rFonts w:ascii="Verdana" w:hAnsi="Verdana"/>
          <w:i w:val="0"/>
          <w:iCs/>
          <w:sz w:val="22"/>
          <w:szCs w:val="22"/>
        </w:rPr>
        <w:t xml:space="preserve"> 4.1.1</w:t>
      </w:r>
      <w:r w:rsidR="0010144F">
        <w:rPr>
          <w:rFonts w:ascii="Verdana" w:hAnsi="Verdana"/>
          <w:i w:val="0"/>
          <w:iCs/>
          <w:sz w:val="22"/>
          <w:szCs w:val="22"/>
        </w:rPr>
        <w:t xml:space="preserve"> Cartera Consumo con Libranza</w:t>
      </w:r>
      <w:r w:rsidR="00370384">
        <w:rPr>
          <w:rFonts w:ascii="Verdana" w:hAnsi="Verdana"/>
          <w:i w:val="0"/>
          <w:iCs/>
          <w:sz w:val="22"/>
          <w:szCs w:val="22"/>
        </w:rPr>
        <w:t xml:space="preserve"> y 4.1.2</w:t>
      </w:r>
      <w:r w:rsidR="0010144F">
        <w:rPr>
          <w:rFonts w:ascii="Verdana" w:hAnsi="Verdana"/>
          <w:i w:val="0"/>
          <w:iCs/>
          <w:sz w:val="22"/>
          <w:szCs w:val="22"/>
        </w:rPr>
        <w:t xml:space="preserve"> Cartera Consumo sin Libranza</w:t>
      </w:r>
      <w:r w:rsidR="00370384">
        <w:rPr>
          <w:rFonts w:ascii="Verdana" w:hAnsi="Verdana"/>
          <w:i w:val="0"/>
          <w:iCs/>
          <w:sz w:val="22"/>
          <w:szCs w:val="22"/>
        </w:rPr>
        <w:t xml:space="preserve"> del Anexo 2 del capítulo II, Título IV de la</w:t>
      </w:r>
      <w:r w:rsidR="00370384" w:rsidRPr="000F2D06">
        <w:rPr>
          <w:rFonts w:ascii="Verdana" w:hAnsi="Verdana"/>
          <w:i w:val="0"/>
          <w:iCs/>
          <w:sz w:val="22"/>
          <w:szCs w:val="22"/>
        </w:rPr>
        <w:t xml:space="preserve"> Circular Básica </w:t>
      </w:r>
      <w:r w:rsidR="00370384">
        <w:rPr>
          <w:rFonts w:ascii="Verdana" w:hAnsi="Verdana"/>
          <w:i w:val="0"/>
          <w:iCs/>
          <w:sz w:val="22"/>
          <w:szCs w:val="22"/>
        </w:rPr>
        <w:t xml:space="preserve">Contable y Financiera </w:t>
      </w:r>
      <w:r w:rsidR="00370384" w:rsidRPr="000F2D06">
        <w:rPr>
          <w:rFonts w:ascii="Verdana" w:hAnsi="Verdana"/>
          <w:i w:val="0"/>
          <w:iCs/>
          <w:sz w:val="22"/>
          <w:szCs w:val="22"/>
        </w:rPr>
        <w:t xml:space="preserve">del 2020, </w:t>
      </w:r>
      <w:r w:rsidR="00370384">
        <w:rPr>
          <w:rFonts w:ascii="Verdana" w:hAnsi="Verdana"/>
          <w:i w:val="0"/>
          <w:iCs/>
          <w:sz w:val="22"/>
          <w:szCs w:val="22"/>
        </w:rPr>
        <w:t>eliminando las probabilidades de incumplimiento para los</w:t>
      </w:r>
      <w:r w:rsidR="00057D76">
        <w:rPr>
          <w:rFonts w:ascii="Verdana" w:hAnsi="Verdana"/>
          <w:i w:val="0"/>
          <w:iCs/>
          <w:sz w:val="22"/>
          <w:szCs w:val="22"/>
        </w:rPr>
        <w:t xml:space="preserve"> siguientes</w:t>
      </w:r>
      <w:r w:rsidR="00370384">
        <w:rPr>
          <w:rFonts w:ascii="Verdana" w:hAnsi="Verdana"/>
          <w:i w:val="0"/>
          <w:iCs/>
          <w:sz w:val="22"/>
          <w:szCs w:val="22"/>
        </w:rPr>
        <w:t xml:space="preserve"> tipos de organización: Cooperativas de trabajo asociado, Especializada sin sección de ahorro, </w:t>
      </w:r>
      <w:r w:rsidR="00057D76">
        <w:rPr>
          <w:rFonts w:ascii="Verdana" w:hAnsi="Verdana"/>
          <w:i w:val="0"/>
          <w:iCs/>
          <w:sz w:val="22"/>
          <w:szCs w:val="22"/>
        </w:rPr>
        <w:t>i</w:t>
      </w:r>
      <w:r w:rsidR="00061121">
        <w:rPr>
          <w:rFonts w:ascii="Verdana" w:hAnsi="Verdana"/>
          <w:i w:val="0"/>
          <w:iCs/>
          <w:sz w:val="22"/>
          <w:szCs w:val="22"/>
        </w:rPr>
        <w:t xml:space="preserve">ntegral sin sección de ahorro y </w:t>
      </w:r>
      <w:r w:rsidR="00057D76">
        <w:rPr>
          <w:rFonts w:ascii="Verdana" w:hAnsi="Verdana"/>
          <w:i w:val="0"/>
          <w:iCs/>
          <w:sz w:val="22"/>
          <w:szCs w:val="22"/>
        </w:rPr>
        <w:t>m</w:t>
      </w:r>
      <w:r w:rsidR="00061121">
        <w:rPr>
          <w:rFonts w:ascii="Verdana" w:hAnsi="Verdana"/>
          <w:i w:val="0"/>
          <w:iCs/>
          <w:sz w:val="22"/>
          <w:szCs w:val="22"/>
        </w:rPr>
        <w:t>ultiactiva sin sección de ahorro.</w:t>
      </w:r>
    </w:p>
    <w:p w14:paraId="7BB04A92" w14:textId="77777777" w:rsidR="000F2D06" w:rsidRPr="000F2D06" w:rsidRDefault="000F2D06" w:rsidP="000F2D06">
      <w:pPr>
        <w:jc w:val="both"/>
        <w:rPr>
          <w:rFonts w:ascii="Verdana" w:hAnsi="Verdana"/>
          <w:i w:val="0"/>
          <w:iCs/>
          <w:sz w:val="22"/>
          <w:szCs w:val="22"/>
        </w:rPr>
      </w:pPr>
    </w:p>
    <w:p w14:paraId="2CCE3E44" w14:textId="12433485" w:rsidR="00061121" w:rsidRDefault="000F2D06" w:rsidP="00061121">
      <w:pPr>
        <w:jc w:val="both"/>
        <w:rPr>
          <w:rFonts w:ascii="Verdana" w:hAnsi="Verdana"/>
          <w:i w:val="0"/>
          <w:iCs/>
          <w:sz w:val="22"/>
          <w:szCs w:val="22"/>
        </w:rPr>
      </w:pPr>
      <w:r w:rsidRPr="000F2D06">
        <w:rPr>
          <w:rFonts w:ascii="Verdana" w:hAnsi="Verdana"/>
          <w:b/>
          <w:bCs/>
          <w:i w:val="0"/>
          <w:iCs/>
          <w:sz w:val="22"/>
          <w:szCs w:val="22"/>
        </w:rPr>
        <w:t xml:space="preserve">TERCERA: </w:t>
      </w:r>
      <w:r w:rsidR="00061121" w:rsidRPr="000F2D06">
        <w:rPr>
          <w:rFonts w:ascii="Verdana" w:hAnsi="Verdana"/>
          <w:b/>
          <w:bCs/>
          <w:i w:val="0"/>
          <w:iCs/>
          <w:sz w:val="22"/>
          <w:szCs w:val="22"/>
        </w:rPr>
        <w:t xml:space="preserve">Modificar </w:t>
      </w:r>
      <w:r w:rsidR="0010144F" w:rsidRPr="00FE301E">
        <w:rPr>
          <w:rFonts w:ascii="Verdana" w:hAnsi="Verdana"/>
          <w:i w:val="0"/>
          <w:iCs/>
          <w:sz w:val="22"/>
          <w:szCs w:val="22"/>
        </w:rPr>
        <w:t>las tablas e</w:t>
      </w:r>
      <w:r w:rsidR="00061121" w:rsidRPr="00FE301E">
        <w:rPr>
          <w:rFonts w:ascii="Verdana" w:hAnsi="Verdana"/>
          <w:i w:val="0"/>
          <w:iCs/>
          <w:sz w:val="22"/>
          <w:szCs w:val="22"/>
        </w:rPr>
        <w:t>stablecid</w:t>
      </w:r>
      <w:r w:rsidR="0010144F" w:rsidRPr="00FE301E">
        <w:rPr>
          <w:rFonts w:ascii="Verdana" w:hAnsi="Verdana"/>
          <w:i w:val="0"/>
          <w:iCs/>
          <w:sz w:val="22"/>
          <w:szCs w:val="22"/>
        </w:rPr>
        <w:t>as</w:t>
      </w:r>
      <w:r w:rsidR="00061121">
        <w:rPr>
          <w:rFonts w:ascii="Verdana" w:hAnsi="Verdana"/>
          <w:i w:val="0"/>
          <w:iCs/>
          <w:sz w:val="22"/>
          <w:szCs w:val="22"/>
        </w:rPr>
        <w:t xml:space="preserve"> en el numeral 4.1.3 </w:t>
      </w:r>
      <w:r w:rsidR="0010144F">
        <w:rPr>
          <w:rFonts w:ascii="Verdana" w:hAnsi="Verdana"/>
          <w:i w:val="0"/>
          <w:iCs/>
          <w:sz w:val="22"/>
          <w:szCs w:val="22"/>
        </w:rPr>
        <w:t xml:space="preserve">Cartera Comercial Persona Natural </w:t>
      </w:r>
      <w:r w:rsidR="00061121">
        <w:rPr>
          <w:rFonts w:ascii="Verdana" w:hAnsi="Verdana"/>
          <w:i w:val="0"/>
          <w:iCs/>
          <w:sz w:val="22"/>
          <w:szCs w:val="22"/>
        </w:rPr>
        <w:t>del Anexo 2 del capítulo II, Título IV de la</w:t>
      </w:r>
      <w:r w:rsidR="00061121" w:rsidRPr="000F2D06">
        <w:rPr>
          <w:rFonts w:ascii="Verdana" w:hAnsi="Verdana"/>
          <w:i w:val="0"/>
          <w:iCs/>
          <w:sz w:val="22"/>
          <w:szCs w:val="22"/>
        </w:rPr>
        <w:t xml:space="preserve"> Circular Básica </w:t>
      </w:r>
      <w:r w:rsidR="00061121">
        <w:rPr>
          <w:rFonts w:ascii="Verdana" w:hAnsi="Verdana"/>
          <w:i w:val="0"/>
          <w:iCs/>
          <w:sz w:val="22"/>
          <w:szCs w:val="22"/>
        </w:rPr>
        <w:t xml:space="preserve">Contable y Financiera </w:t>
      </w:r>
      <w:r w:rsidR="00061121" w:rsidRPr="000F2D06">
        <w:rPr>
          <w:rFonts w:ascii="Verdana" w:hAnsi="Verdana"/>
          <w:i w:val="0"/>
          <w:iCs/>
          <w:sz w:val="22"/>
          <w:szCs w:val="22"/>
        </w:rPr>
        <w:t xml:space="preserve">del 2020, </w:t>
      </w:r>
      <w:r w:rsidR="00061121">
        <w:rPr>
          <w:rFonts w:ascii="Verdana" w:hAnsi="Verdana"/>
          <w:i w:val="0"/>
          <w:iCs/>
          <w:sz w:val="22"/>
          <w:szCs w:val="22"/>
        </w:rPr>
        <w:t xml:space="preserve">eliminando las probabilidades de incumplimiento para </w:t>
      </w:r>
      <w:r w:rsidR="0010144F">
        <w:rPr>
          <w:rFonts w:ascii="Verdana" w:hAnsi="Verdana"/>
          <w:i w:val="0"/>
          <w:iCs/>
          <w:sz w:val="22"/>
          <w:szCs w:val="22"/>
        </w:rPr>
        <w:t xml:space="preserve">los siguientes tipos de organización: </w:t>
      </w:r>
      <w:r w:rsidR="00061121">
        <w:rPr>
          <w:rFonts w:ascii="Verdana" w:hAnsi="Verdana"/>
          <w:i w:val="0"/>
          <w:iCs/>
          <w:sz w:val="22"/>
          <w:szCs w:val="22"/>
        </w:rPr>
        <w:t xml:space="preserve">Especializada sin sección de ahorro, Integral sin sección de ahorro y </w:t>
      </w:r>
      <w:r w:rsidR="0010144F">
        <w:rPr>
          <w:rFonts w:ascii="Verdana" w:hAnsi="Verdana"/>
          <w:i w:val="0"/>
          <w:iCs/>
          <w:sz w:val="22"/>
          <w:szCs w:val="22"/>
        </w:rPr>
        <w:t>m</w:t>
      </w:r>
      <w:r w:rsidR="00061121">
        <w:rPr>
          <w:rFonts w:ascii="Verdana" w:hAnsi="Verdana"/>
          <w:i w:val="0"/>
          <w:iCs/>
          <w:sz w:val="22"/>
          <w:szCs w:val="22"/>
        </w:rPr>
        <w:t>ultiactiva sin sección de ahorro.</w:t>
      </w:r>
    </w:p>
    <w:p w14:paraId="37427D40" w14:textId="0CCBDD2A" w:rsidR="00152490" w:rsidRDefault="00152490" w:rsidP="00061121">
      <w:pPr>
        <w:jc w:val="both"/>
        <w:rPr>
          <w:rFonts w:ascii="Verdana" w:hAnsi="Verdana"/>
          <w:i w:val="0"/>
          <w:iCs/>
          <w:sz w:val="22"/>
          <w:szCs w:val="22"/>
        </w:rPr>
      </w:pPr>
    </w:p>
    <w:p w14:paraId="107DBA48" w14:textId="77777777" w:rsidR="00B466D5" w:rsidRDefault="00152490" w:rsidP="00B466D5">
      <w:pPr>
        <w:jc w:val="both"/>
      </w:pPr>
      <w:r w:rsidRPr="009B7B66">
        <w:rPr>
          <w:rFonts w:ascii="Verdana" w:hAnsi="Verdana"/>
          <w:b/>
          <w:bCs/>
          <w:i w:val="0"/>
          <w:iCs/>
          <w:sz w:val="22"/>
          <w:szCs w:val="22"/>
        </w:rPr>
        <w:lastRenderedPageBreak/>
        <w:t xml:space="preserve">CUARTA: </w:t>
      </w:r>
      <w:r w:rsidR="00B466D5" w:rsidRPr="000F2D06">
        <w:rPr>
          <w:rFonts w:ascii="Verdana" w:hAnsi="Verdana"/>
          <w:b/>
          <w:bCs/>
          <w:i w:val="0"/>
          <w:iCs/>
          <w:sz w:val="22"/>
          <w:szCs w:val="22"/>
        </w:rPr>
        <w:t xml:space="preserve">Modificar </w:t>
      </w:r>
      <w:r w:rsidR="00B466D5">
        <w:rPr>
          <w:rFonts w:ascii="Verdana" w:hAnsi="Verdana"/>
          <w:i w:val="0"/>
          <w:iCs/>
          <w:sz w:val="22"/>
          <w:szCs w:val="22"/>
        </w:rPr>
        <w:t xml:space="preserve">las fases III y IV del Capítulo II-SISTEMA DE ADMINSITRACIÓN DE RIESGO DE CRÉDITO – SARC del </w:t>
      </w:r>
      <w:r w:rsidR="00B466D5" w:rsidRPr="00061121">
        <w:rPr>
          <w:rFonts w:ascii="Verdana" w:hAnsi="Verdana"/>
          <w:i w:val="0"/>
          <w:iCs/>
          <w:sz w:val="22"/>
          <w:szCs w:val="22"/>
        </w:rPr>
        <w:t>“</w:t>
      </w:r>
      <w:r w:rsidR="00B466D5">
        <w:rPr>
          <w:rFonts w:ascii="Verdana" w:hAnsi="Verdana"/>
          <w:i w:val="0"/>
          <w:iCs/>
          <w:sz w:val="22"/>
          <w:szCs w:val="22"/>
        </w:rPr>
        <w:t xml:space="preserve">Anexo </w:t>
      </w:r>
      <w:r w:rsidR="00B466D5" w:rsidRPr="00061121">
        <w:rPr>
          <w:rFonts w:ascii="Verdana" w:hAnsi="Verdana"/>
          <w:i w:val="0"/>
          <w:iCs/>
          <w:sz w:val="22"/>
          <w:szCs w:val="22"/>
        </w:rPr>
        <w:t>Cronograma Implementación Título IV</w:t>
      </w:r>
      <w:r w:rsidR="00B466D5">
        <w:rPr>
          <w:rFonts w:ascii="Verdana" w:hAnsi="Verdana"/>
          <w:i w:val="0"/>
          <w:iCs/>
          <w:sz w:val="22"/>
          <w:szCs w:val="22"/>
        </w:rPr>
        <w:t xml:space="preserve"> - </w:t>
      </w:r>
      <w:r w:rsidR="00B466D5" w:rsidRPr="00061121">
        <w:rPr>
          <w:rFonts w:ascii="Verdana" w:hAnsi="Verdana"/>
          <w:i w:val="0"/>
          <w:iCs/>
          <w:sz w:val="22"/>
          <w:szCs w:val="22"/>
        </w:rPr>
        <w:t>Sistema</w:t>
      </w:r>
      <w:r w:rsidR="00B466D5">
        <w:rPr>
          <w:rFonts w:ascii="Verdana" w:hAnsi="Verdana"/>
          <w:i w:val="0"/>
          <w:iCs/>
          <w:sz w:val="22"/>
          <w:szCs w:val="22"/>
        </w:rPr>
        <w:t>s</w:t>
      </w:r>
      <w:r w:rsidR="00B466D5" w:rsidRPr="00061121">
        <w:rPr>
          <w:rFonts w:ascii="Verdana" w:hAnsi="Verdana"/>
          <w:i w:val="0"/>
          <w:iCs/>
          <w:sz w:val="22"/>
          <w:szCs w:val="22"/>
        </w:rPr>
        <w:t xml:space="preserve"> de Administración de Riesgo</w:t>
      </w:r>
      <w:r w:rsidR="00B466D5">
        <w:rPr>
          <w:rFonts w:ascii="Verdana" w:hAnsi="Verdana"/>
          <w:i w:val="0"/>
          <w:iCs/>
          <w:sz w:val="22"/>
          <w:szCs w:val="22"/>
        </w:rPr>
        <w:t>”</w:t>
      </w:r>
      <w:r w:rsidR="00B466D5" w:rsidRPr="00061121">
        <w:rPr>
          <w:rFonts w:ascii="Verdana" w:hAnsi="Verdana"/>
          <w:i w:val="0"/>
          <w:iCs/>
          <w:sz w:val="22"/>
          <w:szCs w:val="22"/>
        </w:rPr>
        <w:t xml:space="preserve"> de la Circular Básica Contable y Financiera</w:t>
      </w:r>
      <w:r w:rsidR="00B466D5">
        <w:rPr>
          <w:rFonts w:ascii="Verdana" w:hAnsi="Verdana"/>
          <w:i w:val="0"/>
          <w:iCs/>
          <w:sz w:val="22"/>
          <w:szCs w:val="22"/>
        </w:rPr>
        <w:t xml:space="preserve"> </w:t>
      </w:r>
      <w:r w:rsidR="00B466D5" w:rsidRPr="000F2D06">
        <w:rPr>
          <w:rFonts w:ascii="Verdana" w:hAnsi="Verdana"/>
          <w:i w:val="0"/>
          <w:iCs/>
          <w:sz w:val="22"/>
          <w:szCs w:val="22"/>
        </w:rPr>
        <w:t xml:space="preserve">del 2020, </w:t>
      </w:r>
      <w:r w:rsidR="00B466D5">
        <w:rPr>
          <w:rFonts w:ascii="Verdana" w:hAnsi="Verdana"/>
          <w:i w:val="0"/>
          <w:iCs/>
          <w:sz w:val="22"/>
          <w:szCs w:val="22"/>
        </w:rPr>
        <w:t xml:space="preserve">eliminando la obligatoriedad del reporte pedagógico y del reconocimiento en los estados financieros para las </w:t>
      </w:r>
      <w:r w:rsidR="00B466D5" w:rsidRPr="00033944">
        <w:rPr>
          <w:rFonts w:ascii="Verdana" w:hAnsi="Verdana"/>
          <w:i w:val="0"/>
          <w:iCs/>
          <w:sz w:val="22"/>
          <w:szCs w:val="22"/>
        </w:rPr>
        <w:t xml:space="preserve">Organizaciones de 1er y 2do nivel de supervisión a excepción de las </w:t>
      </w:r>
      <w:proofErr w:type="spellStart"/>
      <w:r w:rsidR="00B466D5" w:rsidRPr="00033944">
        <w:rPr>
          <w:rFonts w:ascii="Verdana" w:hAnsi="Verdana"/>
          <w:i w:val="0"/>
          <w:iCs/>
          <w:sz w:val="22"/>
          <w:szCs w:val="22"/>
        </w:rPr>
        <w:t>CACs</w:t>
      </w:r>
      <w:proofErr w:type="spellEnd"/>
      <w:r w:rsidR="00B466D5" w:rsidRPr="00033944">
        <w:rPr>
          <w:rFonts w:ascii="Verdana" w:hAnsi="Verdana"/>
          <w:i w:val="0"/>
          <w:iCs/>
          <w:sz w:val="22"/>
          <w:szCs w:val="22"/>
        </w:rPr>
        <w:t>, Fondos de empleados</w:t>
      </w:r>
      <w:r w:rsidR="00B466D5">
        <w:rPr>
          <w:rFonts w:ascii="Verdana" w:hAnsi="Verdana"/>
          <w:i w:val="0"/>
          <w:iCs/>
          <w:sz w:val="22"/>
          <w:szCs w:val="22"/>
        </w:rPr>
        <w:t xml:space="preserve"> de categoría plena</w:t>
      </w:r>
      <w:r w:rsidR="00B466D5" w:rsidRPr="00033944">
        <w:rPr>
          <w:rFonts w:ascii="Verdana" w:hAnsi="Verdana"/>
          <w:i w:val="0"/>
          <w:iCs/>
          <w:sz w:val="22"/>
          <w:szCs w:val="22"/>
        </w:rPr>
        <w:t xml:space="preserve"> y Asociaciones Mutuales que presten servicio de </w:t>
      </w:r>
      <w:r w:rsidR="00B466D5">
        <w:rPr>
          <w:rFonts w:ascii="Verdana" w:hAnsi="Verdana"/>
          <w:i w:val="0"/>
          <w:iCs/>
          <w:sz w:val="22"/>
          <w:szCs w:val="22"/>
        </w:rPr>
        <w:t xml:space="preserve">ahorro y crédito. </w:t>
      </w:r>
    </w:p>
    <w:p w14:paraId="7F7622AC" w14:textId="77777777" w:rsidR="00B466D5" w:rsidRDefault="00B466D5" w:rsidP="00B466D5">
      <w:pPr>
        <w:jc w:val="both"/>
        <w:rPr>
          <w:rFonts w:ascii="Verdana" w:hAnsi="Verdana"/>
          <w:b/>
          <w:bCs/>
          <w:i w:val="0"/>
          <w:iCs/>
          <w:sz w:val="22"/>
          <w:szCs w:val="22"/>
        </w:rPr>
      </w:pPr>
    </w:p>
    <w:p w14:paraId="5957B832" w14:textId="25408C48" w:rsidR="00B466D5" w:rsidRPr="00B466D5" w:rsidRDefault="00B466D5" w:rsidP="00B466D5">
      <w:pPr>
        <w:jc w:val="both"/>
        <w:rPr>
          <w:rFonts w:ascii="Verdana" w:hAnsi="Verdana"/>
          <w:i w:val="0"/>
          <w:iCs/>
          <w:sz w:val="22"/>
          <w:szCs w:val="22"/>
        </w:rPr>
      </w:pPr>
      <w:r w:rsidRPr="00B466D5">
        <w:rPr>
          <w:rFonts w:ascii="Verdana" w:hAnsi="Verdana"/>
          <w:b/>
          <w:bCs/>
          <w:i w:val="0"/>
          <w:iCs/>
          <w:sz w:val="22"/>
          <w:szCs w:val="22"/>
        </w:rPr>
        <w:t xml:space="preserve">QUINTA: Permitir </w:t>
      </w:r>
      <w:r w:rsidRPr="00B466D5">
        <w:rPr>
          <w:rFonts w:ascii="Verdana" w:hAnsi="Verdana"/>
          <w:i w:val="0"/>
          <w:iCs/>
          <w:sz w:val="22"/>
          <w:szCs w:val="22"/>
        </w:rPr>
        <w:t xml:space="preserve">que las empresas solidarias supervisadas - ESS sujetas a la presente Circular Externa, que así lo consideren, puedan aplicar de manera voluntaria el Modelo de </w:t>
      </w:r>
      <w:r w:rsidRPr="00B466D5">
        <w:rPr>
          <w:rFonts w:ascii="Verdana" w:hAnsi="Verdana" w:cs="Times New Roman"/>
          <w:i w:val="0"/>
          <w:iCs/>
          <w:sz w:val="22"/>
          <w:szCs w:val="22"/>
          <w:lang w:eastAsia="es-CO"/>
        </w:rPr>
        <w:t>referencia para la estimación de las pérdidas esperadas</w:t>
      </w:r>
      <w:r w:rsidRPr="00B466D5">
        <w:rPr>
          <w:rFonts w:ascii="Verdana" w:hAnsi="Verdana"/>
          <w:i w:val="0"/>
          <w:iCs/>
          <w:sz w:val="22"/>
          <w:szCs w:val="22"/>
        </w:rPr>
        <w:t xml:space="preserve"> con reconocimiento en sus estados financieros.</w:t>
      </w:r>
    </w:p>
    <w:p w14:paraId="15424C54" w14:textId="77777777" w:rsidR="00B466D5" w:rsidRPr="00B466D5" w:rsidRDefault="00B466D5" w:rsidP="00B466D5">
      <w:pPr>
        <w:jc w:val="both"/>
        <w:rPr>
          <w:rFonts w:ascii="Verdana" w:hAnsi="Verdana"/>
          <w:i w:val="0"/>
          <w:iCs/>
          <w:sz w:val="22"/>
          <w:szCs w:val="22"/>
        </w:rPr>
      </w:pPr>
    </w:p>
    <w:p w14:paraId="2B76F727" w14:textId="525B8252" w:rsidR="00B466D5" w:rsidRPr="00951534" w:rsidRDefault="00B466D5" w:rsidP="00B466D5">
      <w:pPr>
        <w:jc w:val="both"/>
        <w:rPr>
          <w:rFonts w:ascii="Verdana" w:hAnsi="Verdana" w:cs="Times New Roman"/>
          <w:i w:val="0"/>
          <w:iCs/>
          <w:sz w:val="22"/>
          <w:szCs w:val="22"/>
          <w:lang w:eastAsia="es-CO"/>
        </w:rPr>
      </w:pPr>
      <w:bookmarkStart w:id="0" w:name="_Hlk227072458"/>
      <w:r w:rsidRPr="00B466D5">
        <w:rPr>
          <w:rFonts w:ascii="Verdana" w:hAnsi="Verdana" w:cs="Times New Roman"/>
          <w:i w:val="0"/>
          <w:iCs/>
          <w:sz w:val="22"/>
          <w:szCs w:val="22"/>
          <w:lang w:eastAsia="es-CO"/>
        </w:rPr>
        <w:t>Para tal efecto, deberán informar expresamente dicha decisión a esta Superintendencia previo a la realización del reporte de información financiera del mes de aplicación.</w:t>
      </w:r>
      <w:r>
        <w:rPr>
          <w:rFonts w:ascii="Verdana" w:hAnsi="Verdana" w:cs="Times New Roman"/>
          <w:i w:val="0"/>
          <w:iCs/>
          <w:sz w:val="22"/>
          <w:szCs w:val="22"/>
          <w:lang w:eastAsia="es-CO"/>
        </w:rPr>
        <w:t xml:space="preserve"> </w:t>
      </w:r>
    </w:p>
    <w:bookmarkEnd w:id="0"/>
    <w:p w14:paraId="51527D84" w14:textId="77777777" w:rsidR="00B466D5" w:rsidRDefault="00B466D5" w:rsidP="00951534">
      <w:pPr>
        <w:jc w:val="both"/>
        <w:rPr>
          <w:rFonts w:ascii="Verdana" w:hAnsi="Verdana"/>
          <w:b/>
          <w:bCs/>
          <w:i w:val="0"/>
          <w:iCs/>
          <w:sz w:val="22"/>
          <w:szCs w:val="22"/>
        </w:rPr>
      </w:pPr>
    </w:p>
    <w:p w14:paraId="3CC635A5" w14:textId="3E55E79E" w:rsidR="007674E7" w:rsidRPr="009B7B66" w:rsidRDefault="00B466D5" w:rsidP="00B466D5">
      <w:pPr>
        <w:jc w:val="both"/>
        <w:rPr>
          <w:rFonts w:ascii="Verdana" w:hAnsi="Verdana"/>
          <w:i w:val="0"/>
          <w:iCs/>
          <w:sz w:val="22"/>
          <w:szCs w:val="22"/>
        </w:rPr>
      </w:pPr>
      <w:r>
        <w:rPr>
          <w:rFonts w:ascii="Verdana" w:hAnsi="Verdana"/>
          <w:b/>
          <w:bCs/>
          <w:i w:val="0"/>
          <w:iCs/>
          <w:sz w:val="22"/>
          <w:szCs w:val="22"/>
        </w:rPr>
        <w:t xml:space="preserve">SEXTA: </w:t>
      </w:r>
      <w:r w:rsidR="007674E7" w:rsidRPr="009B7B66">
        <w:rPr>
          <w:rFonts w:ascii="Verdana" w:hAnsi="Verdana"/>
          <w:b/>
          <w:bCs/>
          <w:i w:val="0"/>
          <w:iCs/>
          <w:sz w:val="22"/>
          <w:szCs w:val="22"/>
        </w:rPr>
        <w:t xml:space="preserve">Incluir </w:t>
      </w:r>
      <w:r w:rsidR="007674E7" w:rsidRPr="009B7B66">
        <w:rPr>
          <w:rFonts w:ascii="Verdana" w:hAnsi="Verdana"/>
          <w:i w:val="0"/>
          <w:iCs/>
          <w:sz w:val="22"/>
          <w:szCs w:val="22"/>
        </w:rPr>
        <w:t>el numeral 4.1.4</w:t>
      </w:r>
      <w:r>
        <w:rPr>
          <w:rFonts w:ascii="Verdana" w:hAnsi="Verdana"/>
          <w:i w:val="0"/>
          <w:iCs/>
          <w:sz w:val="22"/>
          <w:szCs w:val="22"/>
        </w:rPr>
        <w:t xml:space="preserve"> p</w:t>
      </w:r>
      <w:r w:rsidRPr="009B7B66">
        <w:rPr>
          <w:rFonts w:ascii="Verdana" w:hAnsi="Verdana"/>
          <w:i w:val="0"/>
          <w:iCs/>
          <w:sz w:val="22"/>
          <w:szCs w:val="22"/>
        </w:rPr>
        <w:t>robabilidad de incumplimiento para organizaciones no obligadas</w:t>
      </w:r>
      <w:r>
        <w:rPr>
          <w:rFonts w:ascii="Verdana" w:hAnsi="Verdana"/>
          <w:i w:val="0"/>
          <w:iCs/>
          <w:sz w:val="22"/>
          <w:szCs w:val="22"/>
        </w:rPr>
        <w:t xml:space="preserve"> del Anexo 2 del capítulo II, Título IV de la</w:t>
      </w:r>
      <w:r w:rsidRPr="000F2D06">
        <w:rPr>
          <w:rFonts w:ascii="Verdana" w:hAnsi="Verdana"/>
          <w:i w:val="0"/>
          <w:iCs/>
          <w:sz w:val="22"/>
          <w:szCs w:val="22"/>
        </w:rPr>
        <w:t xml:space="preserve"> Circular Básica </w:t>
      </w:r>
      <w:r>
        <w:rPr>
          <w:rFonts w:ascii="Verdana" w:hAnsi="Verdana"/>
          <w:i w:val="0"/>
          <w:iCs/>
          <w:sz w:val="22"/>
          <w:szCs w:val="22"/>
        </w:rPr>
        <w:t xml:space="preserve">Contable y Financiera </w:t>
      </w:r>
      <w:r w:rsidRPr="000F2D06">
        <w:rPr>
          <w:rFonts w:ascii="Verdana" w:hAnsi="Verdana"/>
          <w:i w:val="0"/>
          <w:iCs/>
          <w:sz w:val="22"/>
          <w:szCs w:val="22"/>
        </w:rPr>
        <w:t>del 2020</w:t>
      </w:r>
      <w:r w:rsidR="007674E7" w:rsidRPr="009B7B66">
        <w:rPr>
          <w:rFonts w:ascii="Verdana" w:hAnsi="Verdana"/>
          <w:i w:val="0"/>
          <w:iCs/>
          <w:sz w:val="22"/>
          <w:szCs w:val="22"/>
        </w:rPr>
        <w:t>, el cual quedará así:</w:t>
      </w:r>
    </w:p>
    <w:p w14:paraId="79D8A13E" w14:textId="06AEB825" w:rsidR="007674E7" w:rsidRDefault="007674E7" w:rsidP="00951534">
      <w:pPr>
        <w:jc w:val="both"/>
        <w:rPr>
          <w:rFonts w:ascii="Verdana" w:hAnsi="Verdana"/>
          <w:b/>
          <w:bCs/>
          <w:i w:val="0"/>
          <w:iCs/>
          <w:sz w:val="22"/>
          <w:szCs w:val="22"/>
        </w:rPr>
      </w:pPr>
    </w:p>
    <w:p w14:paraId="77D397EC" w14:textId="77777777" w:rsidR="00563052" w:rsidRDefault="007674E7" w:rsidP="00563052">
      <w:pPr>
        <w:ind w:left="708" w:right="759"/>
        <w:jc w:val="both"/>
        <w:rPr>
          <w:b/>
          <w:bCs/>
        </w:rPr>
      </w:pPr>
      <w:r w:rsidRPr="009B7B66">
        <w:rPr>
          <w:b/>
          <w:bCs/>
        </w:rPr>
        <w:t>“</w:t>
      </w:r>
      <w:bookmarkStart w:id="1" w:name="_Hlk227070748"/>
      <w:r w:rsidR="00563052" w:rsidRPr="00BA596A">
        <w:rPr>
          <w:b/>
          <w:bCs/>
        </w:rPr>
        <w:t xml:space="preserve">4.1.4 </w:t>
      </w:r>
      <w:r w:rsidR="00563052">
        <w:rPr>
          <w:b/>
          <w:bCs/>
        </w:rPr>
        <w:t xml:space="preserve">Aplicación voluntaria - </w:t>
      </w:r>
      <w:r w:rsidR="00563052" w:rsidRPr="00BA596A">
        <w:rPr>
          <w:b/>
          <w:bCs/>
        </w:rPr>
        <w:t>Probabilidad de incumplimiento para organizaciones no obligadas</w:t>
      </w:r>
    </w:p>
    <w:bookmarkEnd w:id="1"/>
    <w:p w14:paraId="66AE70DD" w14:textId="77777777" w:rsidR="009B7B66" w:rsidRPr="009B7B66" w:rsidRDefault="009B7B66" w:rsidP="009B7B66">
      <w:pPr>
        <w:ind w:left="708" w:right="759"/>
        <w:jc w:val="both"/>
        <w:rPr>
          <w:b/>
          <w:bCs/>
        </w:rPr>
      </w:pPr>
    </w:p>
    <w:p w14:paraId="04B4E4E9" w14:textId="77777777" w:rsidR="00F26E50" w:rsidRDefault="009B7B66" w:rsidP="00F26E50">
      <w:pPr>
        <w:pStyle w:val="Encabezado"/>
        <w:ind w:left="708" w:right="759"/>
        <w:jc w:val="both"/>
        <w:rPr>
          <w:rFonts w:cs="Arial"/>
          <w:i/>
        </w:rPr>
      </w:pPr>
      <w:r w:rsidRPr="009B7B66">
        <w:rPr>
          <w:rFonts w:cs="Arial"/>
          <w:i/>
        </w:rPr>
        <w:t xml:space="preserve">Las empresas solidarias supervisadas no obligadas a la aplicación del modelo de </w:t>
      </w:r>
      <w:r w:rsidRPr="009B7B66">
        <w:rPr>
          <w:rFonts w:cs="Arial"/>
          <w:i/>
          <w:lang w:eastAsia="es-CO"/>
        </w:rPr>
        <w:t>referencia para la estimación de las pérdidas esperadas</w:t>
      </w:r>
      <w:r w:rsidRPr="009B7B66">
        <w:rPr>
          <w:rFonts w:cs="Arial"/>
          <w:i/>
        </w:rPr>
        <w:t xml:space="preserve"> con reconocimiento en sus estados financieros, que decidan de manera voluntaria hacerlo, deberán aplicar las probabilidades que se relacionan a continuación:</w:t>
      </w:r>
    </w:p>
    <w:p w14:paraId="45B07FFF" w14:textId="0A2691D2" w:rsidR="009B7B66" w:rsidRPr="00F26E50" w:rsidRDefault="009B7B66" w:rsidP="00F26E50">
      <w:pPr>
        <w:pStyle w:val="Encabezado"/>
        <w:ind w:left="708" w:right="759"/>
        <w:jc w:val="both"/>
        <w:rPr>
          <w:rFonts w:cs="Arial"/>
          <w:i/>
        </w:rPr>
      </w:pPr>
      <w:r w:rsidRPr="009B7B66">
        <w:fldChar w:fldCharType="begin"/>
      </w:r>
      <w:r w:rsidRPr="009B7B66">
        <w:instrText xml:space="preserve"> LINK Excel.Sheet.12 "F:\\Backup\\dpcabrera\\Documents\\CIRCULAR XX PERDIDA ESPERADA 2026\\CIRCULAR 14042026\\PROBABILIDADES DE INCUMPLIMIENTO.xlsx" "Hoja1!F31C2:F37C5" \a \f 4 \h </w:instrText>
      </w:r>
      <w:r>
        <w:instrText xml:space="preserve"> \* MERGEFORMAT </w:instrText>
      </w:r>
      <w:r w:rsidRPr="009B7B66">
        <w:fldChar w:fldCharType="separate"/>
      </w:r>
    </w:p>
    <w:p w14:paraId="1F2B2385" w14:textId="0E7A0F58" w:rsidR="009B7B66" w:rsidRPr="009B7B66" w:rsidRDefault="009B7B66" w:rsidP="00B466D5">
      <w:pPr>
        <w:ind w:right="759"/>
        <w:jc w:val="center"/>
      </w:pPr>
      <w:r w:rsidRPr="009B7B66">
        <w:fldChar w:fldCharType="end"/>
      </w:r>
      <w:r w:rsidR="00B466D5">
        <w:t xml:space="preserve">       </w:t>
      </w:r>
      <w:r w:rsidR="00B466D5" w:rsidRPr="000F5EDC">
        <w:rPr>
          <w:noProof/>
        </w:rPr>
        <w:drawing>
          <wp:inline distT="0" distB="0" distL="0" distR="0" wp14:anchorId="4F3B4EE3" wp14:editId="5D83C996">
            <wp:extent cx="4137660" cy="128070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322" cy="1284314"/>
                    </a:xfrm>
                    <a:prstGeom prst="rect">
                      <a:avLst/>
                    </a:prstGeom>
                    <a:noFill/>
                    <a:ln>
                      <a:noFill/>
                    </a:ln>
                  </pic:spPr>
                </pic:pic>
              </a:graphicData>
            </a:graphic>
          </wp:inline>
        </w:drawing>
      </w:r>
      <w:r w:rsidRPr="009B7B66">
        <w:t xml:space="preserve">  </w:t>
      </w:r>
      <w:r w:rsidRPr="009B7B66">
        <w:fldChar w:fldCharType="begin"/>
      </w:r>
      <w:r w:rsidRPr="009B7B66">
        <w:instrText xml:space="preserve"> LINK Excel.Sheet.12 "F:\\Backup\\dpcabrera\\Documents\\CIRCULAR XX PERDIDA ESPERADA 2026\\CIRCULAR 14042026\\PROBABILIDADES DE INCUMPLIMIENTO.xlsx" "Hoja1!F31C2:F37C5" \a \f 4 \h </w:instrText>
      </w:r>
      <w:r>
        <w:instrText xml:space="preserve"> \* MERGEFORMAT </w:instrText>
      </w:r>
      <w:r w:rsidRPr="009B7B66">
        <w:fldChar w:fldCharType="separate"/>
      </w:r>
    </w:p>
    <w:p w14:paraId="54FE5C8A" w14:textId="70C899FF" w:rsidR="009B7B66" w:rsidRPr="009B7B66" w:rsidRDefault="009B7B66" w:rsidP="009B7B66">
      <w:pPr>
        <w:ind w:right="759"/>
        <w:jc w:val="center"/>
      </w:pPr>
      <w:r w:rsidRPr="009B7B66">
        <w:fldChar w:fldCharType="end"/>
      </w:r>
      <w:r w:rsidRPr="009B7B66">
        <w:t xml:space="preserve"> </w:t>
      </w:r>
      <w:r w:rsidRPr="009B7B66">
        <w:fldChar w:fldCharType="begin"/>
      </w:r>
      <w:r w:rsidRPr="009B7B66">
        <w:instrText xml:space="preserve"> LINK Excel.Sheet.12 "F:\\Backup\\dpcabrera\\Documents\\CIRCULAR XX PERDIDA ESPERADA 2026\\CIRCULAR 14042026\\PROBABILIDADES DE INCUMPLIMIENTO.xlsx" "Hoja1!F31C2:F37C5" \a \f 4 \h </w:instrText>
      </w:r>
      <w:r>
        <w:instrText xml:space="preserve"> \* MERGEFORMAT </w:instrText>
      </w:r>
      <w:r w:rsidRPr="009B7B66">
        <w:fldChar w:fldCharType="separate"/>
      </w:r>
    </w:p>
    <w:p w14:paraId="3D30EEF4" w14:textId="5AC8C22C" w:rsidR="009B7B66" w:rsidRPr="009B7B66" w:rsidRDefault="009B7B66" w:rsidP="009B7B66">
      <w:pPr>
        <w:ind w:right="759"/>
        <w:jc w:val="center"/>
      </w:pPr>
      <w:r w:rsidRPr="009B7B66">
        <w:fldChar w:fldCharType="end"/>
      </w:r>
      <w:r w:rsidRPr="009B7B66">
        <w:t xml:space="preserve"> </w:t>
      </w:r>
      <w:r w:rsidRPr="009B7B66">
        <w:fldChar w:fldCharType="begin"/>
      </w:r>
      <w:r w:rsidRPr="009B7B66">
        <w:instrText xml:space="preserve"> LINK Excel.Sheet.12 "F:\\Backup\\dpcabrera\\Documents\\CIRCULAR XX PERDIDA ESPERADA 2026\\CIRCULAR 14042026\\PROBABILIDADES DE INCUMPLIMIENTO.xlsx" "Hoja1!F31C2:F37C5" \a \f 4 \h </w:instrText>
      </w:r>
      <w:r>
        <w:instrText xml:space="preserve"> \* MERGEFORMAT </w:instrText>
      </w:r>
      <w:r w:rsidRPr="009B7B66">
        <w:fldChar w:fldCharType="separate"/>
      </w:r>
    </w:p>
    <w:p w14:paraId="194BD1CC" w14:textId="2C59F37F" w:rsidR="009B7B66" w:rsidRPr="00B466D5" w:rsidRDefault="009B7B66" w:rsidP="009B7B66">
      <w:pPr>
        <w:ind w:left="708" w:right="759"/>
        <w:jc w:val="both"/>
      </w:pPr>
      <w:r w:rsidRPr="009B7B66">
        <w:lastRenderedPageBreak/>
        <w:fldChar w:fldCharType="end"/>
      </w:r>
      <w:r w:rsidRPr="00B466D5">
        <w:t xml:space="preserve">La decisión de aplicación del modelo de referencia para la </w:t>
      </w:r>
      <w:r w:rsidRPr="00B466D5">
        <w:rPr>
          <w:lang w:eastAsia="es-CO"/>
        </w:rPr>
        <w:t>estimación de las pérdidas esperadas</w:t>
      </w:r>
      <w:r w:rsidRPr="00B466D5">
        <w:t xml:space="preserve"> con reconocimiento en sus estados financieros, deberá ser informada a esta Superintendencia para efectos de la supervisión. </w:t>
      </w:r>
      <w:r w:rsidR="00B466D5" w:rsidRPr="00B466D5">
        <w:t>“</w:t>
      </w:r>
    </w:p>
    <w:p w14:paraId="77DB1737" w14:textId="0CBC39B5" w:rsidR="007674E7" w:rsidRPr="007674E7" w:rsidRDefault="007674E7" w:rsidP="009B7B66">
      <w:pPr>
        <w:ind w:firstLine="708"/>
        <w:jc w:val="both"/>
        <w:rPr>
          <w:rFonts w:ascii="Verdana" w:hAnsi="Verdana"/>
          <w:b/>
          <w:bCs/>
          <w:i w:val="0"/>
          <w:iCs/>
          <w:sz w:val="22"/>
          <w:szCs w:val="22"/>
        </w:rPr>
      </w:pPr>
    </w:p>
    <w:p w14:paraId="6DF81F11" w14:textId="21BA1FE7" w:rsidR="000F2D06" w:rsidRDefault="00152490" w:rsidP="000F2D06">
      <w:pPr>
        <w:jc w:val="both"/>
        <w:rPr>
          <w:rFonts w:ascii="Verdana" w:hAnsi="Verdana"/>
          <w:i w:val="0"/>
          <w:iCs/>
          <w:sz w:val="22"/>
          <w:szCs w:val="22"/>
        </w:rPr>
      </w:pPr>
      <w:r>
        <w:rPr>
          <w:rFonts w:ascii="Verdana" w:hAnsi="Verdana"/>
          <w:b/>
          <w:bCs/>
          <w:i w:val="0"/>
          <w:iCs/>
          <w:sz w:val="22"/>
          <w:szCs w:val="22"/>
        </w:rPr>
        <w:t>SEPTIMA</w:t>
      </w:r>
      <w:r w:rsidR="000F2D06" w:rsidRPr="000F2D06">
        <w:rPr>
          <w:rFonts w:ascii="Verdana" w:hAnsi="Verdana"/>
          <w:b/>
          <w:bCs/>
          <w:i w:val="0"/>
          <w:iCs/>
          <w:sz w:val="22"/>
          <w:szCs w:val="22"/>
        </w:rPr>
        <w:t xml:space="preserve">: </w:t>
      </w:r>
      <w:r w:rsidR="000F2D06" w:rsidRPr="000F2D06">
        <w:rPr>
          <w:rFonts w:ascii="Verdana" w:hAnsi="Verdana"/>
          <w:i w:val="0"/>
          <w:iCs/>
          <w:sz w:val="22"/>
          <w:szCs w:val="22"/>
        </w:rPr>
        <w:t>De acuerdo con lo previsto en el inciso 1° del artículo 65 de la Ley 1437 de 2011, la presente Circular rige a partir de la fecha de su publicación en el Diario Oficial.</w:t>
      </w:r>
    </w:p>
    <w:p w14:paraId="1402296A" w14:textId="56B81130" w:rsidR="00061121" w:rsidRDefault="00061121" w:rsidP="000F2D06">
      <w:pPr>
        <w:jc w:val="both"/>
        <w:rPr>
          <w:rFonts w:ascii="Verdana" w:hAnsi="Verdana"/>
          <w:i w:val="0"/>
          <w:iCs/>
          <w:sz w:val="22"/>
          <w:szCs w:val="22"/>
        </w:rPr>
      </w:pPr>
    </w:p>
    <w:p w14:paraId="6E78447D" w14:textId="77777777" w:rsidR="0022466C" w:rsidRDefault="0022466C" w:rsidP="000F2D06">
      <w:pPr>
        <w:jc w:val="both"/>
        <w:rPr>
          <w:rFonts w:ascii="Verdana" w:hAnsi="Verdana"/>
          <w:i w:val="0"/>
          <w:iCs/>
          <w:sz w:val="22"/>
          <w:szCs w:val="22"/>
        </w:rPr>
      </w:pPr>
    </w:p>
    <w:p w14:paraId="666A8BEA" w14:textId="15E4680E" w:rsidR="000F2D06" w:rsidRPr="000F2D06" w:rsidRDefault="000F2D06" w:rsidP="00B466D5">
      <w:pPr>
        <w:suppressAutoHyphens w:val="0"/>
        <w:rPr>
          <w:rFonts w:ascii="Verdana" w:hAnsi="Verdana"/>
          <w:i w:val="0"/>
          <w:iCs/>
          <w:sz w:val="22"/>
          <w:szCs w:val="22"/>
        </w:rPr>
      </w:pPr>
      <w:r w:rsidRPr="000F2D06">
        <w:rPr>
          <w:rFonts w:ascii="Verdana" w:hAnsi="Verdana"/>
          <w:i w:val="0"/>
          <w:iCs/>
          <w:sz w:val="22"/>
          <w:szCs w:val="22"/>
        </w:rPr>
        <w:t>Cordialmente,</w:t>
      </w:r>
    </w:p>
    <w:p w14:paraId="20867B28" w14:textId="77777777" w:rsidR="000F2D06" w:rsidRPr="000F2D06" w:rsidRDefault="000F2D06" w:rsidP="000F2D06">
      <w:pPr>
        <w:jc w:val="both"/>
        <w:rPr>
          <w:rFonts w:ascii="Verdana" w:hAnsi="Verdana"/>
          <w:i w:val="0"/>
          <w:iCs/>
          <w:sz w:val="22"/>
          <w:szCs w:val="22"/>
        </w:rPr>
      </w:pPr>
      <w:r w:rsidRPr="000F2D06">
        <w:rPr>
          <w:rFonts w:ascii="Verdana" w:hAnsi="Verdana"/>
          <w:i w:val="0"/>
          <w:iCs/>
          <w:sz w:val="22"/>
          <w:szCs w:val="22"/>
        </w:rPr>
        <w:br/>
      </w:r>
      <w:r w:rsidRPr="000F2D06">
        <w:rPr>
          <w:rFonts w:ascii="Verdana" w:hAnsi="Verdana"/>
          <w:i w:val="0"/>
          <w:iCs/>
          <w:sz w:val="22"/>
          <w:szCs w:val="22"/>
        </w:rPr>
        <w:br/>
      </w:r>
    </w:p>
    <w:p w14:paraId="622F7DA1" w14:textId="77777777" w:rsidR="000F2D06" w:rsidRPr="000F2D06" w:rsidRDefault="000F2D06" w:rsidP="000F2D06">
      <w:pPr>
        <w:jc w:val="both"/>
        <w:rPr>
          <w:rFonts w:ascii="Verdana" w:hAnsi="Verdana"/>
          <w:i w:val="0"/>
          <w:iCs/>
          <w:sz w:val="22"/>
          <w:szCs w:val="22"/>
        </w:rPr>
      </w:pPr>
      <w:r w:rsidRPr="000F2D06">
        <w:rPr>
          <w:rFonts w:ascii="Verdana" w:hAnsi="Verdana"/>
          <w:b/>
          <w:bCs/>
          <w:i w:val="0"/>
          <w:iCs/>
          <w:sz w:val="22"/>
          <w:szCs w:val="22"/>
        </w:rPr>
        <w:t>MARIA JOSÉ NAVARRO MUÑOZ</w:t>
      </w:r>
    </w:p>
    <w:p w14:paraId="45496B8B" w14:textId="03E32A30" w:rsidR="000F7FD7" w:rsidRPr="000F2D06" w:rsidRDefault="000F2D06">
      <w:pPr>
        <w:jc w:val="both"/>
        <w:rPr>
          <w:rFonts w:ascii="Verdana" w:hAnsi="Verdana"/>
          <w:i w:val="0"/>
          <w:iCs/>
          <w:sz w:val="22"/>
          <w:szCs w:val="22"/>
        </w:rPr>
      </w:pPr>
      <w:r w:rsidRPr="000F2D06">
        <w:rPr>
          <w:rFonts w:ascii="Verdana" w:hAnsi="Verdana"/>
          <w:i w:val="0"/>
          <w:iCs/>
          <w:sz w:val="22"/>
          <w:szCs w:val="22"/>
        </w:rPr>
        <w:t>Superintendenta de la Economía Solidaria</w:t>
      </w:r>
    </w:p>
    <w:p w14:paraId="1C4B79C2" w14:textId="77777777" w:rsidR="00033944" w:rsidRDefault="00033944" w:rsidP="00461C9B">
      <w:pPr>
        <w:suppressAutoHyphens w:val="0"/>
        <w:rPr>
          <w:rFonts w:ascii="Verdana" w:hAnsi="Verdana"/>
          <w:i w:val="0"/>
          <w:sz w:val="14"/>
          <w:szCs w:val="14"/>
          <w:lang w:val="es-MX"/>
        </w:rPr>
      </w:pPr>
    </w:p>
    <w:p w14:paraId="6090DA08" w14:textId="77777777" w:rsidR="006B3499" w:rsidRDefault="000F7FD7" w:rsidP="00461C9B">
      <w:pPr>
        <w:suppressAutoHyphens w:val="0"/>
        <w:rPr>
          <w:rFonts w:ascii="Verdana" w:hAnsi="Verdana"/>
          <w:i w:val="0"/>
          <w:sz w:val="14"/>
          <w:szCs w:val="14"/>
          <w:lang w:val="es-MX"/>
        </w:rPr>
      </w:pPr>
      <w:r w:rsidRPr="000F2D06">
        <w:rPr>
          <w:rFonts w:ascii="Verdana" w:hAnsi="Verdana"/>
          <w:i w:val="0"/>
          <w:sz w:val="14"/>
          <w:szCs w:val="14"/>
          <w:lang w:val="es-MX"/>
        </w:rPr>
        <w:t>Anexo:</w:t>
      </w:r>
      <w:r w:rsidR="000F2D06">
        <w:rPr>
          <w:rFonts w:ascii="Verdana" w:hAnsi="Verdana"/>
          <w:i w:val="0"/>
          <w:sz w:val="14"/>
          <w:szCs w:val="14"/>
          <w:lang w:val="es-MX"/>
        </w:rPr>
        <w:t xml:space="preserve"> </w:t>
      </w:r>
      <w:r w:rsidR="00033944">
        <w:rPr>
          <w:rFonts w:ascii="Verdana" w:hAnsi="Verdana"/>
          <w:i w:val="0"/>
          <w:sz w:val="14"/>
          <w:szCs w:val="14"/>
          <w:lang w:val="es-MX"/>
        </w:rPr>
        <w:t>Hojas modificadas del Capítulo II Título IV de la Circular Básica Contable y Financiera de 2020</w:t>
      </w:r>
    </w:p>
    <w:p w14:paraId="178BA878" w14:textId="48FB26D0" w:rsidR="00033944" w:rsidRDefault="00033944" w:rsidP="00461C9B">
      <w:pPr>
        <w:suppressAutoHyphens w:val="0"/>
        <w:rPr>
          <w:rFonts w:ascii="Verdana" w:hAnsi="Verdana"/>
          <w:i w:val="0"/>
          <w:sz w:val="14"/>
          <w:szCs w:val="14"/>
          <w:lang w:val="es-MX"/>
        </w:rPr>
      </w:pPr>
      <w:r>
        <w:rPr>
          <w:rFonts w:ascii="Verdana" w:hAnsi="Verdana"/>
          <w:i w:val="0"/>
          <w:sz w:val="14"/>
          <w:szCs w:val="14"/>
          <w:lang w:val="es-MX"/>
        </w:rPr>
        <w:t xml:space="preserve">Anexo 2 del Capítulo II, </w:t>
      </w:r>
      <w:r w:rsidR="006B3499">
        <w:rPr>
          <w:rFonts w:ascii="Verdana" w:hAnsi="Verdana"/>
          <w:i w:val="0"/>
          <w:sz w:val="14"/>
          <w:szCs w:val="14"/>
          <w:lang w:val="es-MX"/>
        </w:rPr>
        <w:t>Título IV de la Circular Básica Contable y Financiera de 2020</w:t>
      </w:r>
    </w:p>
    <w:p w14:paraId="2CAE3A7E" w14:textId="77777777" w:rsidR="006B3499" w:rsidRDefault="006B3499" w:rsidP="00461C9B">
      <w:pPr>
        <w:suppressAutoHyphens w:val="0"/>
        <w:rPr>
          <w:rFonts w:ascii="Verdana" w:hAnsi="Verdana"/>
          <w:i w:val="0"/>
          <w:sz w:val="14"/>
          <w:szCs w:val="14"/>
          <w:lang w:val="es-MX"/>
        </w:rPr>
      </w:pPr>
      <w:r w:rsidRPr="006B3499">
        <w:rPr>
          <w:rFonts w:ascii="Verdana" w:hAnsi="Verdana"/>
          <w:i w:val="0"/>
          <w:sz w:val="14"/>
          <w:szCs w:val="14"/>
          <w:lang w:val="es-MX"/>
        </w:rPr>
        <w:t>Cronograma Implementación Título IV sobre el Sistema de Administración de Riesgos – SIAR</w:t>
      </w:r>
    </w:p>
    <w:p w14:paraId="50F59E05" w14:textId="3306C539" w:rsidR="000F7FD7" w:rsidRPr="000F2D06" w:rsidRDefault="006B3499" w:rsidP="00461C9B">
      <w:pPr>
        <w:suppressAutoHyphens w:val="0"/>
        <w:rPr>
          <w:rFonts w:ascii="Verdana" w:hAnsi="Verdana"/>
          <w:i w:val="0"/>
          <w:sz w:val="14"/>
          <w:szCs w:val="14"/>
          <w:lang w:val="es-MX"/>
        </w:rPr>
      </w:pPr>
      <w:r w:rsidRPr="006B3499">
        <w:rPr>
          <w:rFonts w:ascii="Verdana" w:hAnsi="Verdana"/>
          <w:i w:val="0"/>
          <w:sz w:val="14"/>
          <w:szCs w:val="14"/>
          <w:lang w:val="es-MX"/>
        </w:rPr>
        <w:t>de la Circular Básica Contable y Financiera del 2020</w:t>
      </w:r>
      <w:r w:rsidR="00033944">
        <w:rPr>
          <w:rFonts w:ascii="Verdana" w:hAnsi="Verdana"/>
          <w:i w:val="0"/>
          <w:sz w:val="14"/>
          <w:szCs w:val="14"/>
          <w:lang w:val="es-MX"/>
        </w:rPr>
        <w:t>.</w:t>
      </w:r>
    </w:p>
    <w:p w14:paraId="646C4637" w14:textId="77777777" w:rsidR="00033944" w:rsidRDefault="00033944" w:rsidP="00033944">
      <w:pPr>
        <w:suppressAutoHyphens w:val="0"/>
        <w:rPr>
          <w:rFonts w:ascii="Verdana" w:hAnsi="Verdana"/>
          <w:i w:val="0"/>
          <w:sz w:val="14"/>
          <w:szCs w:val="14"/>
          <w:lang w:val="es-MX"/>
        </w:rPr>
      </w:pPr>
    </w:p>
    <w:p w14:paraId="79BC1216" w14:textId="1AEB63EF" w:rsidR="000F7FD7" w:rsidRDefault="000F7FD7" w:rsidP="00033944">
      <w:pPr>
        <w:suppressAutoHyphens w:val="0"/>
        <w:rPr>
          <w:rFonts w:ascii="Verdana" w:hAnsi="Verdana"/>
          <w:i w:val="0"/>
          <w:sz w:val="14"/>
          <w:szCs w:val="14"/>
          <w:lang w:val="es-MX"/>
        </w:rPr>
      </w:pPr>
      <w:r w:rsidRPr="000F2D06">
        <w:rPr>
          <w:rFonts w:ascii="Verdana" w:hAnsi="Verdana"/>
          <w:i w:val="0"/>
          <w:sz w:val="14"/>
          <w:szCs w:val="14"/>
          <w:lang w:val="es-MX"/>
        </w:rPr>
        <w:t xml:space="preserve">Proyectó: </w:t>
      </w:r>
      <w:r w:rsidR="00C67CE1">
        <w:rPr>
          <w:rFonts w:ascii="Verdana" w:hAnsi="Verdana"/>
          <w:i w:val="0"/>
          <w:sz w:val="14"/>
          <w:szCs w:val="14"/>
          <w:lang w:val="es-MX"/>
        </w:rPr>
        <w:t xml:space="preserve">QUENIA </w:t>
      </w:r>
      <w:r w:rsidR="00C33ADE">
        <w:rPr>
          <w:rFonts w:ascii="Verdana" w:hAnsi="Verdana"/>
          <w:i w:val="0"/>
          <w:sz w:val="14"/>
          <w:szCs w:val="14"/>
          <w:lang w:val="es-MX"/>
        </w:rPr>
        <w:t xml:space="preserve">JANNETH </w:t>
      </w:r>
      <w:r w:rsidR="00C67CE1">
        <w:rPr>
          <w:rFonts w:ascii="Verdana" w:hAnsi="Verdana"/>
          <w:i w:val="0"/>
          <w:sz w:val="14"/>
          <w:szCs w:val="14"/>
          <w:lang w:val="es-MX"/>
        </w:rPr>
        <w:t>VILLAMIL GUTIÉRREZ</w:t>
      </w:r>
    </w:p>
    <w:p w14:paraId="79B5BCB5" w14:textId="2E3E5A03" w:rsidR="00C67CE1" w:rsidRDefault="00C67CE1" w:rsidP="00033944">
      <w:pPr>
        <w:suppressAutoHyphens w:val="0"/>
        <w:rPr>
          <w:rFonts w:ascii="Verdana" w:hAnsi="Verdana"/>
          <w:i w:val="0"/>
          <w:sz w:val="14"/>
          <w:szCs w:val="14"/>
          <w:lang w:val="es-MX"/>
        </w:rPr>
      </w:pPr>
      <w:r>
        <w:rPr>
          <w:rFonts w:ascii="Verdana" w:hAnsi="Verdana"/>
          <w:i w:val="0"/>
          <w:sz w:val="14"/>
          <w:szCs w:val="14"/>
          <w:lang w:val="es-MX"/>
        </w:rPr>
        <w:t>MIGUEL ANGEL MORENO SUAREZ</w:t>
      </w:r>
    </w:p>
    <w:p w14:paraId="290FF125" w14:textId="2881B386" w:rsidR="00C67CE1" w:rsidRDefault="00C67CE1" w:rsidP="00033944">
      <w:pPr>
        <w:suppressAutoHyphens w:val="0"/>
        <w:rPr>
          <w:rFonts w:ascii="Verdana" w:hAnsi="Verdana"/>
          <w:i w:val="0"/>
          <w:sz w:val="14"/>
          <w:szCs w:val="14"/>
          <w:lang w:val="es-MX"/>
        </w:rPr>
      </w:pPr>
      <w:r>
        <w:rPr>
          <w:rFonts w:ascii="Verdana" w:hAnsi="Verdana"/>
          <w:i w:val="0"/>
          <w:sz w:val="14"/>
          <w:szCs w:val="14"/>
          <w:lang w:val="es-MX"/>
        </w:rPr>
        <w:t>DAVID ERNESTO GIL PINEDA</w:t>
      </w:r>
    </w:p>
    <w:p w14:paraId="12D0EF01" w14:textId="016A8A95" w:rsidR="00723E92" w:rsidRPr="000F2D06" w:rsidRDefault="00723E92" w:rsidP="00033944">
      <w:pPr>
        <w:suppressAutoHyphens w:val="0"/>
        <w:rPr>
          <w:rFonts w:ascii="Verdana" w:hAnsi="Verdana"/>
          <w:i w:val="0"/>
          <w:sz w:val="14"/>
          <w:szCs w:val="14"/>
          <w:lang w:val="es-MX"/>
        </w:rPr>
      </w:pPr>
      <w:r>
        <w:rPr>
          <w:rFonts w:ascii="Verdana" w:hAnsi="Verdana"/>
          <w:i w:val="0"/>
          <w:sz w:val="14"/>
          <w:szCs w:val="14"/>
          <w:lang w:val="es-MX"/>
        </w:rPr>
        <w:t>DIANA PATRICIA CABRERA ERAZO</w:t>
      </w:r>
    </w:p>
    <w:p w14:paraId="6D1EF6C8" w14:textId="77777777" w:rsidR="00A3716E" w:rsidRPr="000F2D06" w:rsidRDefault="000F7FD7" w:rsidP="00461C9B">
      <w:pPr>
        <w:suppressAutoHyphens w:val="0"/>
        <w:rPr>
          <w:rFonts w:ascii="Verdana" w:hAnsi="Verdana"/>
          <w:i w:val="0"/>
          <w:sz w:val="14"/>
          <w:szCs w:val="14"/>
          <w:lang w:val="es-MX"/>
        </w:rPr>
      </w:pPr>
      <w:r w:rsidRPr="000F2D06">
        <w:rPr>
          <w:rFonts w:ascii="Verdana" w:hAnsi="Verdana"/>
          <w:i w:val="0"/>
          <w:sz w:val="14"/>
          <w:szCs w:val="14"/>
          <w:lang w:val="es-MX"/>
        </w:rPr>
        <w:t xml:space="preserve">Revisó: </w:t>
      </w:r>
      <w:r w:rsidR="00A3716E" w:rsidRPr="000F2D06">
        <w:rPr>
          <w:rFonts w:ascii="Verdana" w:hAnsi="Verdana"/>
          <w:i w:val="0"/>
          <w:sz w:val="14"/>
          <w:szCs w:val="14"/>
          <w:lang w:val="es-MX"/>
        </w:rPr>
        <w:t>BEATRIZ LEONELA LIZCANO CASTRO</w:t>
      </w:r>
    </w:p>
    <w:p w14:paraId="69203A5D" w14:textId="223F27C3" w:rsidR="00A3716E" w:rsidRPr="000F2D06" w:rsidRDefault="00033944" w:rsidP="00461C9B">
      <w:pPr>
        <w:suppressAutoHyphens w:val="0"/>
        <w:rPr>
          <w:rFonts w:ascii="Verdana" w:hAnsi="Verdana"/>
          <w:i w:val="0"/>
          <w:sz w:val="14"/>
          <w:szCs w:val="14"/>
          <w:lang w:val="es-MX"/>
        </w:rPr>
      </w:pPr>
      <w:r>
        <w:rPr>
          <w:rFonts w:ascii="Verdana" w:hAnsi="Verdana"/>
          <w:i w:val="0"/>
          <w:sz w:val="14"/>
          <w:szCs w:val="14"/>
          <w:lang w:val="es-MX"/>
        </w:rPr>
        <w:t>MARELVI HORTENSIA BERNAL NEMPEQUE</w:t>
      </w:r>
    </w:p>
    <w:p w14:paraId="0A70684F" w14:textId="77777777" w:rsidR="00A3716E"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ANGELICA MARIA ZAMORA ACOSTA</w:t>
      </w:r>
    </w:p>
    <w:p w14:paraId="5C5E52B8" w14:textId="562A1C04" w:rsidR="00A3716E" w:rsidRPr="000F2D06" w:rsidRDefault="00033944" w:rsidP="00461C9B">
      <w:pPr>
        <w:suppressAutoHyphens w:val="0"/>
        <w:rPr>
          <w:rFonts w:ascii="Verdana" w:hAnsi="Verdana"/>
          <w:i w:val="0"/>
          <w:sz w:val="14"/>
          <w:szCs w:val="14"/>
          <w:lang w:val="es-MX"/>
        </w:rPr>
      </w:pPr>
      <w:r>
        <w:rPr>
          <w:rFonts w:ascii="Verdana" w:hAnsi="Verdana"/>
          <w:i w:val="0"/>
          <w:sz w:val="14"/>
          <w:szCs w:val="14"/>
          <w:lang w:val="es-MX"/>
        </w:rPr>
        <w:t xml:space="preserve">MARTHA </w:t>
      </w:r>
      <w:r w:rsidR="00723E92">
        <w:rPr>
          <w:rFonts w:ascii="Verdana" w:hAnsi="Verdana"/>
          <w:i w:val="0"/>
          <w:sz w:val="14"/>
          <w:szCs w:val="14"/>
          <w:lang w:val="es-MX"/>
        </w:rPr>
        <w:t xml:space="preserve">NOHEMY </w:t>
      </w:r>
      <w:r>
        <w:rPr>
          <w:rFonts w:ascii="Verdana" w:hAnsi="Verdana"/>
          <w:i w:val="0"/>
          <w:sz w:val="14"/>
          <w:szCs w:val="14"/>
          <w:lang w:val="es-MX"/>
        </w:rPr>
        <w:t>ARÉVALO</w:t>
      </w:r>
      <w:r w:rsidR="00723E92">
        <w:rPr>
          <w:rFonts w:ascii="Verdana" w:hAnsi="Verdana"/>
          <w:i w:val="0"/>
          <w:sz w:val="14"/>
          <w:szCs w:val="14"/>
          <w:lang w:val="es-MX"/>
        </w:rPr>
        <w:t xml:space="preserve"> MARTINEZ</w:t>
      </w:r>
    </w:p>
    <w:p w14:paraId="525F27C0" w14:textId="77777777" w:rsidR="00A3716E"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RAIZA POSADA COTES</w:t>
      </w:r>
    </w:p>
    <w:p w14:paraId="3F0EC1E4" w14:textId="2784D0F6" w:rsidR="000F7FD7" w:rsidRPr="000F2D06" w:rsidRDefault="00A3716E" w:rsidP="00461C9B">
      <w:pPr>
        <w:suppressAutoHyphens w:val="0"/>
        <w:rPr>
          <w:rFonts w:ascii="Verdana" w:hAnsi="Verdana"/>
          <w:i w:val="0"/>
          <w:sz w:val="14"/>
          <w:szCs w:val="14"/>
          <w:lang w:val="es-MX"/>
        </w:rPr>
      </w:pPr>
      <w:r w:rsidRPr="000F2D06">
        <w:rPr>
          <w:rFonts w:ascii="Verdana" w:hAnsi="Verdana"/>
          <w:i w:val="0"/>
          <w:sz w:val="14"/>
          <w:szCs w:val="14"/>
          <w:lang w:val="es-MX"/>
        </w:rPr>
        <w:t>LAURA SOFIA PRADA CARDOSO</w:t>
      </w:r>
    </w:p>
    <w:p w14:paraId="343110E2" w14:textId="77777777" w:rsidR="000F7FD7" w:rsidRPr="005806F8" w:rsidRDefault="000F7FD7" w:rsidP="0026227A">
      <w:pPr>
        <w:rPr>
          <w:rFonts w:ascii="Verdana" w:hAnsi="Verdana"/>
          <w:sz w:val="18"/>
          <w:szCs w:val="18"/>
          <w:lang w:val="es-MX"/>
        </w:rPr>
      </w:pPr>
    </w:p>
    <w:p w14:paraId="59618BC3" w14:textId="77777777" w:rsidR="000F7FD7" w:rsidRPr="005806F8" w:rsidRDefault="000F7FD7" w:rsidP="0026227A">
      <w:pPr>
        <w:rPr>
          <w:rFonts w:ascii="Verdana" w:hAnsi="Verdana"/>
          <w:sz w:val="18"/>
          <w:szCs w:val="18"/>
          <w:lang w:val="es-MX"/>
        </w:rPr>
      </w:pPr>
    </w:p>
    <w:p w14:paraId="248C3FCB" w14:textId="77777777" w:rsidR="005806F8" w:rsidRPr="000C0C1F" w:rsidRDefault="005806F8" w:rsidP="000C0C1F">
      <w:pPr>
        <w:rPr>
          <w:sz w:val="18"/>
          <w:szCs w:val="18"/>
          <w:lang w:val="es-MX"/>
        </w:rPr>
      </w:pPr>
    </w:p>
    <w:sectPr w:rsidR="005806F8" w:rsidRPr="000C0C1F" w:rsidSect="00E20347">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2" w:h="15842" w:code="1"/>
      <w:pgMar w:top="1525" w:right="1418"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79B3" w14:textId="77777777" w:rsidR="00841658" w:rsidRDefault="00841658">
      <w:r>
        <w:separator/>
      </w:r>
    </w:p>
  </w:endnote>
  <w:endnote w:type="continuationSeparator" w:id="0">
    <w:p w14:paraId="49EC5C6E" w14:textId="77777777" w:rsidR="00841658" w:rsidRDefault="0084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D6A5" w14:textId="77777777" w:rsidR="006F7517" w:rsidRDefault="006F75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DB39" w14:textId="1B75C595" w:rsidR="005806F8" w:rsidRDefault="005806F8">
    <w:pPr>
      <w:pStyle w:val="Piedepgina"/>
    </w:pPr>
    <w:r>
      <w:rPr>
        <w:noProof/>
        <w:lang w:eastAsia="es-CO"/>
      </w:rPr>
      <mc:AlternateContent>
        <mc:Choice Requires="wps">
          <w:drawing>
            <wp:anchor distT="0" distB="0" distL="114300" distR="114300" simplePos="0" relativeHeight="251702272" behindDoc="0" locked="0" layoutInCell="1" allowOverlap="1" wp14:anchorId="03141C49" wp14:editId="34C9A450">
              <wp:simplePos x="0" y="0"/>
              <wp:positionH relativeFrom="page">
                <wp:posOffset>1203960</wp:posOffset>
              </wp:positionH>
              <wp:positionV relativeFrom="paragraph">
                <wp:posOffset>162560</wp:posOffset>
              </wp:positionV>
              <wp:extent cx="5391150" cy="1229995"/>
              <wp:effectExtent l="0" t="0" r="0" b="0"/>
              <wp:wrapThrough wrapText="bothSides">
                <wp:wrapPolygon edited="0">
                  <wp:start x="229" y="0"/>
                  <wp:lineTo x="229" y="21076"/>
                  <wp:lineTo x="21371" y="21076"/>
                  <wp:lineTo x="21371" y="0"/>
                  <wp:lineTo x="229" y="0"/>
                </wp:wrapPolygon>
              </wp:wrapThrough>
              <wp:docPr id="8"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41C49" id="_x0000_t202" coordsize="21600,21600" o:spt="202" path="m,l,21600r21600,l21600,xe">
              <v:stroke joinstyle="miter"/>
              <v:path gradientshapeok="t" o:connecttype="rect"/>
            </v:shapetype>
            <v:shape id="Cuadro de texto 1" o:spid="_x0000_s1026" type="#_x0000_t202" style="position:absolute;margin-left:94.8pt;margin-top:12.8pt;width:424.5pt;height:96.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" filled="f" stroked="f" strokeweight=".5pt">
              <v:textbo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15113217" w14:textId="52337754" w:rsidR="00B16792" w:rsidRDefault="00B16792">
    <w:pPr>
      <w:pStyle w:val="Piedepgina"/>
    </w:pPr>
  </w:p>
  <w:p w14:paraId="624B3505" w14:textId="77777777" w:rsidR="00B16792" w:rsidRDefault="00B16792">
    <w:pPr>
      <w:pStyle w:val="Piedepgina"/>
    </w:pPr>
  </w:p>
  <w:p w14:paraId="4CC4681F" w14:textId="77777777" w:rsidR="009B02E7" w:rsidRDefault="009B02E7">
    <w:pPr>
      <w:pStyle w:val="Piedepgina"/>
    </w:pPr>
  </w:p>
  <w:p w14:paraId="25DB4D52" w14:textId="160893F5" w:rsidR="009B02E7" w:rsidRDefault="009B02E7">
    <w:pPr>
      <w:pStyle w:val="Piedepgina"/>
    </w:pPr>
  </w:p>
  <w:p w14:paraId="69321762" w14:textId="1985F9C7" w:rsidR="009B02E7" w:rsidRDefault="009B02E7">
    <w:pPr>
      <w:pStyle w:val="Piedepgina"/>
    </w:pPr>
  </w:p>
  <w:p w14:paraId="41B7E737" w14:textId="77777777" w:rsidR="009B02E7" w:rsidRDefault="009B02E7">
    <w:pPr>
      <w:pStyle w:val="Piedepgina"/>
    </w:pPr>
  </w:p>
  <w:p w14:paraId="472DEFF0" w14:textId="77777777" w:rsidR="009B02E7" w:rsidRDefault="009B02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89F0" w14:textId="7B58DA7C" w:rsidR="00B16792" w:rsidRDefault="005806F8"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704320" behindDoc="0" locked="0" layoutInCell="1" allowOverlap="1" wp14:anchorId="3D12E246" wp14:editId="40FC236E">
              <wp:simplePos x="0" y="0"/>
              <wp:positionH relativeFrom="page">
                <wp:align>center</wp:align>
              </wp:positionH>
              <wp:positionV relativeFrom="paragraph">
                <wp:posOffset>56515</wp:posOffset>
              </wp:positionV>
              <wp:extent cx="5391150" cy="1229995"/>
              <wp:effectExtent l="0" t="0" r="0" b="0"/>
              <wp:wrapThrough wrapText="bothSides">
                <wp:wrapPolygon edited="0">
                  <wp:start x="229" y="0"/>
                  <wp:lineTo x="229" y="21076"/>
                  <wp:lineTo x="21371" y="21076"/>
                  <wp:lineTo x="21371" y="0"/>
                  <wp:lineTo x="229" y="0"/>
                </wp:wrapPolygon>
              </wp:wrapThrough>
              <wp:docPr id="3"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E246" id="_x0000_t202" coordsize="21600,21600" o:spt="202" path="m,l,21600r21600,l21600,xe">
              <v:stroke joinstyle="miter"/>
              <v:path gradientshapeok="t" o:connecttype="rect"/>
            </v:shapetype>
            <v:shape id="_x0000_s1027" type="#_x0000_t202" style="position:absolute;left:0;text-align:left;margin-left:0;margin-top:4.45pt;width:424.5pt;height:96.85pt;z-index:251704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" filled="f" stroked="f" strokeweight=".5pt">
              <v:textbo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00471487" w14:textId="1FC1AA3F" w:rsidR="005806F8" w:rsidRDefault="005806F8" w:rsidP="00E20347">
    <w:pPr>
      <w:pStyle w:val="Piedepgina"/>
      <w:tabs>
        <w:tab w:val="center" w:pos="993"/>
      </w:tabs>
      <w:spacing w:line="0" w:lineRule="atLeast"/>
      <w:ind w:left="-1701"/>
      <w:rPr>
        <w:b/>
        <w:bCs/>
        <w:i w:val="0"/>
        <w:iCs/>
        <w:w w:val="200"/>
        <w:sz w:val="14"/>
        <w:szCs w:val="14"/>
      </w:rPr>
    </w:pPr>
  </w:p>
  <w:p w14:paraId="7887B845" w14:textId="09B521B6" w:rsidR="005806F8" w:rsidRDefault="005806F8" w:rsidP="00E20347">
    <w:pPr>
      <w:pStyle w:val="Piedepgina"/>
      <w:tabs>
        <w:tab w:val="center" w:pos="993"/>
      </w:tabs>
      <w:spacing w:line="0" w:lineRule="atLeast"/>
      <w:ind w:left="-1701"/>
      <w:rPr>
        <w:b/>
        <w:bCs/>
        <w:i w:val="0"/>
        <w:iCs/>
        <w:w w:val="200"/>
        <w:sz w:val="14"/>
        <w:szCs w:val="14"/>
      </w:rPr>
    </w:pPr>
  </w:p>
  <w:p w14:paraId="04DAF34D" w14:textId="1AC2B665" w:rsidR="005806F8" w:rsidRDefault="005806F8" w:rsidP="00E20347">
    <w:pPr>
      <w:pStyle w:val="Piedepgina"/>
      <w:tabs>
        <w:tab w:val="center" w:pos="993"/>
      </w:tabs>
      <w:spacing w:line="0" w:lineRule="atLeast"/>
      <w:ind w:left="-1701"/>
      <w:rPr>
        <w:b/>
        <w:bCs/>
        <w:i w:val="0"/>
        <w:iCs/>
        <w:w w:val="200"/>
        <w:sz w:val="14"/>
        <w:szCs w:val="14"/>
      </w:rPr>
    </w:pPr>
  </w:p>
  <w:p w14:paraId="3ADBF12C" w14:textId="46E24C0B" w:rsidR="005806F8" w:rsidRDefault="005806F8" w:rsidP="00E20347">
    <w:pPr>
      <w:pStyle w:val="Piedepgina"/>
      <w:tabs>
        <w:tab w:val="center" w:pos="993"/>
      </w:tabs>
      <w:spacing w:line="0" w:lineRule="atLeast"/>
      <w:ind w:left="-1701"/>
      <w:rPr>
        <w:b/>
        <w:bCs/>
        <w:i w:val="0"/>
        <w:iCs/>
        <w:w w:val="200"/>
        <w:sz w:val="14"/>
        <w:szCs w:val="14"/>
      </w:rPr>
    </w:pPr>
  </w:p>
  <w:p w14:paraId="728C208E" w14:textId="04C9CA45" w:rsidR="005806F8" w:rsidRDefault="005806F8" w:rsidP="00E20347">
    <w:pPr>
      <w:pStyle w:val="Piedepgina"/>
      <w:tabs>
        <w:tab w:val="center" w:pos="993"/>
      </w:tabs>
      <w:spacing w:line="0" w:lineRule="atLeast"/>
      <w:ind w:left="-1701"/>
      <w:rPr>
        <w:b/>
        <w:bCs/>
        <w:i w:val="0"/>
        <w:iCs/>
        <w:w w:val="200"/>
        <w:sz w:val="14"/>
        <w:szCs w:val="14"/>
      </w:rPr>
    </w:pPr>
  </w:p>
  <w:p w14:paraId="4C617515" w14:textId="23E806A8" w:rsidR="005806F8" w:rsidRDefault="005806F8" w:rsidP="00E20347">
    <w:pPr>
      <w:pStyle w:val="Piedepgina"/>
      <w:tabs>
        <w:tab w:val="center" w:pos="993"/>
      </w:tabs>
      <w:spacing w:line="0" w:lineRule="atLeast"/>
      <w:ind w:left="-1701"/>
      <w:rPr>
        <w:b/>
        <w:bCs/>
        <w:i w:val="0"/>
        <w:iCs/>
        <w:w w:val="200"/>
        <w:sz w:val="14"/>
        <w:szCs w:val="14"/>
      </w:rPr>
    </w:pPr>
  </w:p>
  <w:p w14:paraId="175430C1" w14:textId="77777777" w:rsidR="005806F8" w:rsidRDefault="005806F8" w:rsidP="00E20347">
    <w:pPr>
      <w:pStyle w:val="Piedepgina"/>
      <w:tabs>
        <w:tab w:val="center" w:pos="993"/>
      </w:tabs>
      <w:spacing w:line="0" w:lineRule="atLeast"/>
      <w:ind w:left="-1701"/>
      <w:rPr>
        <w:b/>
        <w:bCs/>
        <w:i w:val="0"/>
        <w:iCs/>
        <w:w w:val="200"/>
        <w:sz w:val="14"/>
        <w:szCs w:val="14"/>
      </w:rPr>
    </w:pPr>
  </w:p>
  <w:p w14:paraId="09858C8D" w14:textId="77777777" w:rsidR="005806F8" w:rsidRDefault="005806F8" w:rsidP="00E20347">
    <w:pPr>
      <w:pStyle w:val="Piedepgina"/>
      <w:tabs>
        <w:tab w:val="center" w:pos="993"/>
      </w:tabs>
      <w:spacing w:line="0" w:lineRule="atLeast"/>
      <w:ind w:left="-1701"/>
      <w:rPr>
        <w:b/>
        <w:bCs/>
        <w:i w:val="0"/>
        <w:iCs/>
        <w:w w:val="200"/>
        <w:sz w:val="14"/>
        <w:szCs w:val="14"/>
      </w:rPr>
    </w:pPr>
  </w:p>
  <w:p w14:paraId="4D1C2F07" w14:textId="3A30C095" w:rsidR="005806F8" w:rsidRDefault="005806F8" w:rsidP="00E20347">
    <w:pPr>
      <w:pStyle w:val="Piedepgina"/>
      <w:tabs>
        <w:tab w:val="center" w:pos="993"/>
      </w:tabs>
      <w:spacing w:line="0" w:lineRule="atLeast"/>
      <w:ind w:left="-1701"/>
      <w:rPr>
        <w:b/>
        <w:bCs/>
        <w:i w:val="0"/>
        <w:iCs/>
        <w:w w:val="200"/>
        <w:sz w:val="14"/>
        <w:szCs w:val="14"/>
      </w:rPr>
    </w:pPr>
  </w:p>
  <w:p w14:paraId="075A35D3" w14:textId="57CDC235" w:rsidR="00B16792" w:rsidRDefault="00B16792" w:rsidP="00E20347">
    <w:pPr>
      <w:pStyle w:val="Piedepgina"/>
      <w:tabs>
        <w:tab w:val="center" w:pos="993"/>
      </w:tabs>
      <w:spacing w:line="0" w:lineRule="atLeast"/>
      <w:ind w:left="-1701"/>
      <w:rPr>
        <w:b/>
        <w:bCs/>
        <w:i w:val="0"/>
        <w:iCs/>
        <w:w w:val="200"/>
        <w:sz w:val="14"/>
        <w:szCs w:val="14"/>
      </w:rPr>
    </w:pPr>
  </w:p>
  <w:p w14:paraId="465DEA8A" w14:textId="60657212" w:rsidR="000F7FD7" w:rsidRPr="00E20347" w:rsidRDefault="006646E0"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686912" behindDoc="0" locked="0" layoutInCell="1" allowOverlap="1" wp14:anchorId="39830FF5" wp14:editId="2ED6043E">
              <wp:simplePos x="0" y="0"/>
              <wp:positionH relativeFrom="column">
                <wp:posOffset>915507</wp:posOffset>
              </wp:positionH>
              <wp:positionV relativeFrom="paragraph">
                <wp:posOffset>386080</wp:posOffset>
              </wp:positionV>
              <wp:extent cx="6098150" cy="684309"/>
              <wp:effectExtent l="0" t="0" r="0" b="1905"/>
              <wp:wrapNone/>
              <wp:docPr id="25" name="Cuadro de texto 25"/>
              <wp:cNvGraphicFramePr/>
              <a:graphic xmlns:a="http://schemas.openxmlformats.org/drawingml/2006/main">
                <a:graphicData uri="http://schemas.microsoft.com/office/word/2010/wordprocessingShape">
                  <wps:wsp>
                    <wps:cNvSpPr txBox="1"/>
                    <wps:spPr>
                      <a:xfrm>
                        <a:off x="0" y="0"/>
                        <a:ext cx="6098150" cy="6843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PBX (1) 7 560 557.  Línea Gratuita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0FF5" id="Cuadro de texto 25" o:spid="_x0000_s1028" type="#_x0000_t202" style="position:absolute;left:0;text-align:left;margin-left:72.1pt;margin-top:30.4pt;width:480.15pt;height:5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" filled="f" stroked="f">
              <v:textbo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PBX (1) 7 560 557.  Línea Gratuita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A278" w14:textId="77777777" w:rsidR="00841658" w:rsidRDefault="00841658">
      <w:r>
        <w:separator/>
      </w:r>
    </w:p>
  </w:footnote>
  <w:footnote w:type="continuationSeparator" w:id="0">
    <w:p w14:paraId="5CFAE911" w14:textId="77777777" w:rsidR="00841658" w:rsidRDefault="00841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1EE7" w14:textId="77777777" w:rsidR="006F7517" w:rsidRDefault="006F75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76E2" w14:textId="5B75776A" w:rsidR="009B02E7" w:rsidRDefault="009B02E7" w:rsidP="00C64ECE">
    <w:pPr>
      <w:pStyle w:val="Encabezado"/>
      <w:ind w:left="-709" w:right="-942"/>
    </w:pPr>
  </w:p>
  <w:p w14:paraId="477F0E57" w14:textId="4473104C" w:rsidR="009B02E7" w:rsidRDefault="006E5D83" w:rsidP="00C64ECE">
    <w:pPr>
      <w:pStyle w:val="Encabezado"/>
      <w:ind w:left="-709" w:right="-942"/>
    </w:pPr>
    <w:r>
      <w:rPr>
        <w:noProof/>
        <w:lang w:eastAsia="es-CO"/>
      </w:rPr>
      <w:drawing>
        <wp:anchor distT="0" distB="0" distL="114300" distR="114300" simplePos="0" relativeHeight="251700224" behindDoc="0" locked="0" layoutInCell="1" allowOverlap="1" wp14:anchorId="62F0ABB6" wp14:editId="181AA550">
          <wp:simplePos x="0" y="0"/>
          <wp:positionH relativeFrom="column">
            <wp:posOffset>1815465</wp:posOffset>
          </wp:positionH>
          <wp:positionV relativeFrom="paragraph">
            <wp:posOffset>5715</wp:posOffset>
          </wp:positionV>
          <wp:extent cx="2161905" cy="971429"/>
          <wp:effectExtent l="0" t="0" r="0" b="635"/>
          <wp:wrapThrough wrapText="bothSides">
            <wp:wrapPolygon edited="0">
              <wp:start x="0" y="0"/>
              <wp:lineTo x="0" y="21190"/>
              <wp:lineTo x="21321" y="21190"/>
              <wp:lineTo x="213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905" cy="971429"/>
                  </a:xfrm>
                  <a:prstGeom prst="rect">
                    <a:avLst/>
                  </a:prstGeom>
                </pic:spPr>
              </pic:pic>
            </a:graphicData>
          </a:graphic>
        </wp:anchor>
      </w:drawing>
    </w:r>
  </w:p>
  <w:p w14:paraId="70560834" w14:textId="77777777" w:rsidR="009B02E7" w:rsidRDefault="009B02E7" w:rsidP="00C64ECE">
    <w:pPr>
      <w:pStyle w:val="Encabezado"/>
      <w:ind w:left="-709" w:right="-942"/>
    </w:pPr>
  </w:p>
  <w:p w14:paraId="2F85A29C" w14:textId="6F686D00" w:rsidR="009B02E7" w:rsidRDefault="009B02E7" w:rsidP="00C64ECE">
    <w:pPr>
      <w:pStyle w:val="Encabezado"/>
      <w:ind w:left="-709" w:right="-942"/>
    </w:pPr>
  </w:p>
  <w:p w14:paraId="34BC0DEB" w14:textId="4C854CC5" w:rsidR="009B02E7" w:rsidRDefault="009B02E7" w:rsidP="00C64ECE">
    <w:pPr>
      <w:pStyle w:val="Encabezado"/>
      <w:ind w:left="-709" w:right="-942"/>
    </w:pPr>
  </w:p>
  <w:p w14:paraId="15B09DF0" w14:textId="33A7BE01" w:rsidR="00B16792" w:rsidRDefault="00B16792" w:rsidP="00C64ECE">
    <w:pPr>
      <w:pStyle w:val="Encabezado"/>
      <w:ind w:left="-709" w:right="-942"/>
    </w:pPr>
  </w:p>
  <w:p w14:paraId="45310095" w14:textId="03F03444" w:rsidR="00B16792" w:rsidRDefault="00B16792" w:rsidP="00C64ECE">
    <w:pPr>
      <w:pStyle w:val="Encabezado"/>
      <w:ind w:left="-709" w:right="-942"/>
    </w:pPr>
  </w:p>
  <w:p w14:paraId="5BDF259B" w14:textId="18A453C0" w:rsidR="00C64ECE" w:rsidRDefault="00C64ECE" w:rsidP="00C64ECE">
    <w:pPr>
      <w:pStyle w:val="Encabezado"/>
      <w:ind w:left="-709" w:right="-942"/>
    </w:pPr>
    <w:r>
      <w:t xml:space="preserve">                                                                     </w:t>
    </w:r>
  </w:p>
  <w:p w14:paraId="51178D08" w14:textId="21288CB8" w:rsidR="000F7FD7" w:rsidRDefault="00A3716E">
    <w:pPr>
      <w:ind w:right="-59"/>
      <w:rPr>
        <w:rStyle w:val="Nmerodepgina"/>
        <w:rFonts w:cs="Arial"/>
        <w:iCs/>
        <w:sz w:val="18"/>
        <w:szCs w:val="18"/>
      </w:rPr>
    </w:pPr>
    <w:r>
      <w:rPr>
        <w:bCs/>
        <w:sz w:val="18"/>
        <w:szCs w:val="18"/>
        <w:lang w:val="es-ES_tradnl"/>
      </w:rPr>
      <w:t>140</w:t>
    </w:r>
    <w:r w:rsidR="000F7FD7">
      <w:rPr>
        <w:bCs/>
        <w:sz w:val="18"/>
        <w:szCs w:val="18"/>
        <w:lang w:val="es-ES_tradnl"/>
      </w:rPr>
      <w:t xml:space="preserve"> - Circular Externa No. </w:t>
    </w:r>
    <w:bookmarkStart w:id="2" w:name="numassigned_2"/>
    <w:r w:rsidR="000F7FD7">
      <w:rPr>
        <w:bCs/>
        <w:sz w:val="18"/>
        <w:szCs w:val="18"/>
        <w:lang w:val="es-ES_tradnl"/>
      </w:rPr>
      <w:t xml:space="preserve">  </w:t>
    </w:r>
    <w:bookmarkEnd w:id="2"/>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rStyle w:val="Nmerodepgina"/>
        <w:rFonts w:cs="Arial"/>
        <w:iCs/>
        <w:sz w:val="18"/>
        <w:szCs w:val="18"/>
      </w:rPr>
      <w:t xml:space="preserve">Página </w:t>
    </w:r>
    <w:r w:rsidR="000F7FD7">
      <w:rPr>
        <w:rStyle w:val="Nmerodepgina"/>
        <w:rFonts w:cs="Arial"/>
        <w:iCs/>
        <w:sz w:val="18"/>
        <w:szCs w:val="18"/>
      </w:rPr>
      <w:fldChar w:fldCharType="begin"/>
    </w:r>
    <w:r w:rsidR="000F7FD7">
      <w:rPr>
        <w:rStyle w:val="Nmerodepgina"/>
        <w:rFonts w:cs="Arial"/>
        <w:iCs/>
        <w:sz w:val="18"/>
        <w:szCs w:val="18"/>
      </w:rPr>
      <w:instrText xml:space="preserve"> PAGE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r w:rsidR="000F7FD7">
      <w:rPr>
        <w:rStyle w:val="Nmerodepgina"/>
        <w:rFonts w:cs="Arial"/>
        <w:iCs/>
        <w:sz w:val="18"/>
        <w:szCs w:val="18"/>
      </w:rPr>
      <w:t xml:space="preserve"> de </w:t>
    </w:r>
    <w:r w:rsidR="000F7FD7">
      <w:rPr>
        <w:rStyle w:val="Nmerodepgina"/>
        <w:rFonts w:cs="Arial"/>
        <w:iCs/>
        <w:sz w:val="18"/>
        <w:szCs w:val="18"/>
      </w:rPr>
      <w:fldChar w:fldCharType="begin"/>
    </w:r>
    <w:r w:rsidR="000F7FD7">
      <w:rPr>
        <w:rStyle w:val="Nmerodepgina"/>
        <w:rFonts w:cs="Arial"/>
        <w:iCs/>
        <w:sz w:val="18"/>
        <w:szCs w:val="18"/>
      </w:rPr>
      <w:instrText xml:space="preserve"> NUMPAGES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p>
  <w:p w14:paraId="2BAB2D7C" w14:textId="77777777" w:rsidR="00FC03F5" w:rsidRDefault="00FC03F5">
    <w:pPr>
      <w:ind w:right="-59"/>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911" w14:textId="3912F545" w:rsidR="00B868AF" w:rsidRDefault="00B868AF" w:rsidP="003C3D0E">
    <w:pPr>
      <w:pStyle w:val="Encabezado"/>
      <w:ind w:left="-1701" w:right="-942"/>
    </w:pPr>
    <w:r>
      <w:t xml:space="preserve">                                                                         </w:t>
    </w:r>
  </w:p>
  <w:p w14:paraId="4385C11E" w14:textId="275826AB" w:rsidR="000F7FD7" w:rsidRDefault="000F7FD7" w:rsidP="00EC3A42">
    <w:pPr>
      <w:pStyle w:val="Ttulo1"/>
      <w:rPr>
        <w:sz w:val="22"/>
        <w:szCs w:val="22"/>
      </w:rPr>
    </w:pPr>
  </w:p>
  <w:p w14:paraId="7BD03659" w14:textId="7DC1F86D" w:rsidR="006E5D83" w:rsidRDefault="006E5D83" w:rsidP="006E5D83"/>
  <w:p w14:paraId="156476CB" w14:textId="6A5A9527" w:rsidR="006E5D83" w:rsidRDefault="006E5D83" w:rsidP="006E5D83">
    <w:r>
      <w:rPr>
        <w:noProof/>
        <w:lang w:eastAsia="es-CO"/>
      </w:rPr>
      <w:drawing>
        <wp:anchor distT="0" distB="0" distL="114300" distR="114300" simplePos="0" relativeHeight="251697152" behindDoc="0" locked="0" layoutInCell="1" allowOverlap="1" wp14:anchorId="34C7000C" wp14:editId="605ED0ED">
          <wp:simplePos x="0" y="0"/>
          <wp:positionH relativeFrom="column">
            <wp:posOffset>1815465</wp:posOffset>
          </wp:positionH>
          <wp:positionV relativeFrom="paragraph">
            <wp:posOffset>155575</wp:posOffset>
          </wp:positionV>
          <wp:extent cx="2161540" cy="970915"/>
          <wp:effectExtent l="0" t="0" r="0" b="635"/>
          <wp:wrapThrough wrapText="bothSides">
            <wp:wrapPolygon edited="0">
              <wp:start x="0" y="0"/>
              <wp:lineTo x="0" y="21190"/>
              <wp:lineTo x="21321" y="21190"/>
              <wp:lineTo x="2132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540" cy="970915"/>
                  </a:xfrm>
                  <a:prstGeom prst="rect">
                    <a:avLst/>
                  </a:prstGeom>
                </pic:spPr>
              </pic:pic>
            </a:graphicData>
          </a:graphic>
        </wp:anchor>
      </w:drawing>
    </w:r>
  </w:p>
  <w:p w14:paraId="64B69E94" w14:textId="78E7A966" w:rsidR="006E5D83" w:rsidRDefault="006E5D83" w:rsidP="006E5D83"/>
  <w:p w14:paraId="7650B28A" w14:textId="4CADD5F0" w:rsidR="006E5D83" w:rsidRDefault="006E5D83" w:rsidP="006E5D83"/>
  <w:p w14:paraId="3D79A6C8" w14:textId="31BA7751" w:rsidR="006E5D83" w:rsidRDefault="006E5D83" w:rsidP="006E5D83"/>
  <w:p w14:paraId="42FF98E7" w14:textId="089D77A1" w:rsidR="006E5D83" w:rsidRDefault="006E5D83" w:rsidP="006E5D83"/>
  <w:p w14:paraId="1C0300CE" w14:textId="3A42A3D8" w:rsidR="006E5D83" w:rsidRDefault="006E5D83" w:rsidP="006E5D83"/>
  <w:p w14:paraId="29947A79" w14:textId="402B481A" w:rsidR="006E5D83" w:rsidRDefault="006E5D83" w:rsidP="006E5D83"/>
  <w:p w14:paraId="5779E69C" w14:textId="7A90CE5A" w:rsidR="006E5D83" w:rsidRPr="005806F8" w:rsidRDefault="006E5D83" w:rsidP="006E5D83">
    <w:pPr>
      <w:rPr>
        <w:rFonts w:ascii="Verdana" w:hAnsi="Verdana"/>
      </w:rPr>
    </w:pPr>
  </w:p>
  <w:p w14:paraId="2049512D" w14:textId="77777777" w:rsidR="006E5D83" w:rsidRPr="005806F8" w:rsidRDefault="006E5D83" w:rsidP="006E5D83">
    <w:pPr>
      <w:rPr>
        <w:rFonts w:ascii="Verdana" w:hAnsi="Verdana"/>
      </w:rPr>
    </w:pPr>
  </w:p>
  <w:p w14:paraId="7D4E841F" w14:textId="77777777" w:rsidR="00EC3A42" w:rsidRPr="005806F8" w:rsidRDefault="00EC3A42" w:rsidP="00EC3A42">
    <w:pPr>
      <w:pStyle w:val="Ttulo1"/>
      <w:jc w:val="center"/>
      <w:rPr>
        <w:rFonts w:ascii="Verdana" w:hAnsi="Verdana"/>
        <w:sz w:val="28"/>
        <w:szCs w:val="28"/>
      </w:rPr>
    </w:pPr>
    <w:r w:rsidRPr="005806F8">
      <w:rPr>
        <w:rFonts w:ascii="Verdana" w:hAnsi="Verdana"/>
        <w:sz w:val="28"/>
        <w:szCs w:val="28"/>
      </w:rPr>
      <w:t>CIRCULAR EXTERNA No.</w:t>
    </w:r>
    <w:r w:rsidR="00AD1E04" w:rsidRPr="005806F8">
      <w:rPr>
        <w:rFonts w:ascii="Verdana" w:hAnsi="Verdana"/>
        <w:noProof/>
        <w:lang w:val="es-ES" w:eastAsia="es-ES"/>
      </w:rPr>
      <w:t xml:space="preserve"> </w:t>
    </w:r>
    <w:r w:rsidRPr="005806F8">
      <w:rPr>
        <w:rFonts w:ascii="Verdana" w:hAnsi="Verdana"/>
        <w:sz w:val="28"/>
        <w:szCs w:val="28"/>
      </w:rPr>
      <w:t xml:space="preserve"> </w:t>
    </w:r>
    <w:bookmarkStart w:id="3" w:name="numassigned"/>
    <w:r w:rsidRPr="005806F8">
      <w:rPr>
        <w:rFonts w:ascii="Verdana" w:hAnsi="Verdana"/>
        <w:sz w:val="28"/>
        <w:szCs w:val="28"/>
      </w:rPr>
      <w:t xml:space="preserve">  </w:t>
    </w:r>
    <w:bookmarkEnd w:id="3"/>
  </w:p>
  <w:p w14:paraId="482F8C80" w14:textId="77777777" w:rsidR="00EC3A42" w:rsidRPr="005806F8" w:rsidRDefault="00EC3A42" w:rsidP="00EC3A42">
    <w:pPr>
      <w:rPr>
        <w:rFonts w:ascii="Verdana" w:hAnsi="Verdana"/>
        <w:b/>
        <w:bCs/>
        <w:i w:val="0"/>
      </w:rPr>
    </w:pPr>
  </w:p>
  <w:p w14:paraId="632DF26C" w14:textId="77777777" w:rsidR="00EC3A42" w:rsidRPr="005806F8" w:rsidRDefault="00EC3A42" w:rsidP="00EC3A42">
    <w:pPr>
      <w:rPr>
        <w:rFonts w:ascii="Verdana" w:hAnsi="Verdana"/>
        <w:b/>
        <w:bCs/>
        <w:i w:val="0"/>
      </w:rPr>
    </w:pPr>
  </w:p>
  <w:tbl>
    <w:tblPr>
      <w:tblW w:w="0" w:type="auto"/>
      <w:tblLook w:val="00A0" w:firstRow="1" w:lastRow="0" w:firstColumn="1" w:lastColumn="0" w:noHBand="0" w:noVBand="0"/>
    </w:tblPr>
    <w:tblGrid>
      <w:gridCol w:w="1521"/>
      <w:gridCol w:w="7602"/>
    </w:tblGrid>
    <w:tr w:rsidR="00EC3A42" w:rsidRPr="005806F8" w14:paraId="54368F7E" w14:textId="77777777" w:rsidTr="00DD2F81">
      <w:tc>
        <w:tcPr>
          <w:tcW w:w="1526" w:type="dxa"/>
        </w:tcPr>
        <w:p w14:paraId="74BA16F6" w14:textId="77777777" w:rsidR="00EC3A42" w:rsidRPr="005806F8" w:rsidRDefault="00EC3A42" w:rsidP="00EC3A42">
          <w:pPr>
            <w:rPr>
              <w:rFonts w:ascii="Verdana" w:hAnsi="Verdana"/>
              <w:b/>
              <w:bCs/>
              <w:i w:val="0"/>
            </w:rPr>
          </w:pPr>
          <w:r w:rsidRPr="005806F8">
            <w:rPr>
              <w:rFonts w:ascii="Verdana" w:hAnsi="Verdana"/>
              <w:b/>
              <w:bCs/>
              <w:i w:val="0"/>
              <w:sz w:val="22"/>
              <w:szCs w:val="22"/>
            </w:rPr>
            <w:t>PARA:</w:t>
          </w:r>
        </w:p>
      </w:tc>
      <w:tc>
        <w:tcPr>
          <w:tcW w:w="7737" w:type="dxa"/>
        </w:tcPr>
        <w:p w14:paraId="69204190" w14:textId="7CADA108" w:rsidR="00EC3A42" w:rsidRDefault="000F2D06" w:rsidP="00DA5AB3">
          <w:pPr>
            <w:jc w:val="both"/>
            <w:rPr>
              <w:rFonts w:ascii="Verdana" w:hAnsi="Verdana"/>
              <w:b/>
              <w:bCs/>
              <w:i w:val="0"/>
              <w:sz w:val="22"/>
              <w:szCs w:val="22"/>
            </w:rPr>
          </w:pPr>
          <w:r w:rsidRPr="00DA5AB3">
            <w:rPr>
              <w:rFonts w:ascii="Verdana" w:hAnsi="Verdana"/>
              <w:b/>
              <w:bCs/>
              <w:i w:val="0"/>
              <w:sz w:val="22"/>
              <w:szCs w:val="22"/>
            </w:rPr>
            <w:t xml:space="preserve">EMPRESAS SOLIDARIAS SUPERVISADAS </w:t>
          </w:r>
          <w:r w:rsidR="00DA5AB3" w:rsidRPr="00DA5AB3">
            <w:rPr>
              <w:rFonts w:ascii="Verdana" w:hAnsi="Verdana"/>
              <w:b/>
              <w:bCs/>
              <w:i w:val="0"/>
              <w:sz w:val="22"/>
              <w:szCs w:val="22"/>
            </w:rPr>
            <w:t xml:space="preserve">DE PRIMER </w:t>
          </w:r>
          <w:r w:rsidR="000D3011">
            <w:rPr>
              <w:rFonts w:ascii="Verdana" w:hAnsi="Verdana"/>
              <w:b/>
              <w:bCs/>
              <w:i w:val="0"/>
              <w:sz w:val="22"/>
              <w:szCs w:val="22"/>
            </w:rPr>
            <w:t xml:space="preserve">y SEGUNDO </w:t>
          </w:r>
          <w:r w:rsidR="00DA5AB3" w:rsidRPr="00DA5AB3">
            <w:rPr>
              <w:rFonts w:ascii="Verdana" w:hAnsi="Verdana"/>
              <w:b/>
              <w:bCs/>
              <w:i w:val="0"/>
              <w:sz w:val="22"/>
              <w:szCs w:val="22"/>
            </w:rPr>
            <w:t xml:space="preserve">NIVEL DE SUPERVISIÓN A EXCEPCIÓN DE COOPERATIVAS DE AHORRO Y CRÉDITO, FONDOS DE EMPLEADOS </w:t>
          </w:r>
          <w:r w:rsidR="000D3011">
            <w:rPr>
              <w:rFonts w:ascii="Verdana" w:hAnsi="Verdana"/>
              <w:b/>
              <w:bCs/>
              <w:i w:val="0"/>
              <w:sz w:val="22"/>
              <w:szCs w:val="22"/>
            </w:rPr>
            <w:t xml:space="preserve">DE CATEGORIA PLENA </w:t>
          </w:r>
          <w:r w:rsidR="00DA5AB3" w:rsidRPr="00DA5AB3">
            <w:rPr>
              <w:rFonts w:ascii="Verdana" w:hAnsi="Verdana"/>
              <w:b/>
              <w:bCs/>
              <w:i w:val="0"/>
              <w:sz w:val="22"/>
              <w:szCs w:val="22"/>
            </w:rPr>
            <w:t>Y ASOCIACIONES MUTUALES QUE PRESTEN SERVICIOS DE AHORRO Y CRÉDITO</w:t>
          </w:r>
        </w:p>
        <w:p w14:paraId="220FD3A1" w14:textId="5CB6BA91" w:rsidR="00DA5AB3" w:rsidRPr="00DA5AB3" w:rsidRDefault="00DA5AB3" w:rsidP="00DA5AB3">
          <w:pPr>
            <w:jc w:val="both"/>
            <w:rPr>
              <w:rFonts w:ascii="Verdana" w:hAnsi="Verdana"/>
              <w:b/>
              <w:bCs/>
              <w:i w:val="0"/>
              <w:sz w:val="22"/>
              <w:szCs w:val="22"/>
            </w:rPr>
          </w:pPr>
        </w:p>
      </w:tc>
    </w:tr>
    <w:tr w:rsidR="00EC3A42" w:rsidRPr="005806F8" w14:paraId="009171FD" w14:textId="77777777" w:rsidTr="00DD2F81">
      <w:tc>
        <w:tcPr>
          <w:tcW w:w="1526" w:type="dxa"/>
        </w:tcPr>
        <w:p w14:paraId="4C2BC3F7" w14:textId="77777777" w:rsidR="00EC3A42" w:rsidRPr="005806F8" w:rsidRDefault="00EC3A42" w:rsidP="00EC3A42">
          <w:pPr>
            <w:rPr>
              <w:rFonts w:ascii="Verdana" w:hAnsi="Verdana"/>
              <w:b/>
              <w:bCs/>
              <w:i w:val="0"/>
            </w:rPr>
          </w:pPr>
          <w:r w:rsidRPr="005806F8">
            <w:rPr>
              <w:rFonts w:ascii="Verdana" w:hAnsi="Verdana"/>
              <w:b/>
              <w:bCs/>
              <w:i w:val="0"/>
              <w:sz w:val="22"/>
              <w:szCs w:val="22"/>
            </w:rPr>
            <w:t>DE:</w:t>
          </w:r>
        </w:p>
      </w:tc>
      <w:tc>
        <w:tcPr>
          <w:tcW w:w="7737" w:type="dxa"/>
        </w:tcPr>
        <w:p w14:paraId="52E763D7" w14:textId="77777777" w:rsidR="00DA5AB3" w:rsidRDefault="000F2D06" w:rsidP="00DA5AB3">
          <w:pPr>
            <w:jc w:val="both"/>
            <w:rPr>
              <w:rFonts w:ascii="Verdana" w:hAnsi="Verdana"/>
              <w:b/>
              <w:bCs/>
              <w:i w:val="0"/>
              <w:sz w:val="22"/>
              <w:szCs w:val="22"/>
            </w:rPr>
          </w:pPr>
          <w:r w:rsidRPr="00DA5AB3">
            <w:rPr>
              <w:rFonts w:ascii="Verdana" w:hAnsi="Verdana"/>
              <w:b/>
              <w:bCs/>
              <w:i w:val="0"/>
              <w:sz w:val="22"/>
              <w:szCs w:val="22"/>
            </w:rPr>
            <w:t>MARÍA JOSÉ NAVARRO MUÑOZ</w:t>
          </w:r>
        </w:p>
        <w:p w14:paraId="6E49910B" w14:textId="77777777" w:rsidR="00EC3A42" w:rsidRDefault="000F2D06" w:rsidP="00DA5AB3">
          <w:pPr>
            <w:jc w:val="both"/>
            <w:rPr>
              <w:rFonts w:ascii="Verdana" w:hAnsi="Verdana"/>
              <w:b/>
              <w:bCs/>
              <w:i w:val="0"/>
              <w:sz w:val="22"/>
              <w:szCs w:val="22"/>
            </w:rPr>
          </w:pPr>
          <w:r w:rsidRPr="00DA5AB3">
            <w:rPr>
              <w:rFonts w:ascii="Verdana" w:hAnsi="Verdana"/>
              <w:b/>
              <w:bCs/>
              <w:i w:val="0"/>
              <w:sz w:val="22"/>
              <w:szCs w:val="22"/>
            </w:rPr>
            <w:t>Superintendenta de la Economía Solidaria</w:t>
          </w:r>
        </w:p>
        <w:p w14:paraId="4609C9D9" w14:textId="158018F1" w:rsidR="00DA5AB3" w:rsidRPr="00DA5AB3" w:rsidRDefault="00DA5AB3" w:rsidP="00DA5AB3">
          <w:pPr>
            <w:jc w:val="both"/>
            <w:rPr>
              <w:rFonts w:ascii="Verdana" w:hAnsi="Verdana"/>
              <w:b/>
              <w:bCs/>
              <w:i w:val="0"/>
              <w:sz w:val="22"/>
              <w:szCs w:val="22"/>
            </w:rPr>
          </w:pPr>
        </w:p>
      </w:tc>
    </w:tr>
    <w:tr w:rsidR="00EC3A42" w:rsidRPr="005806F8" w14:paraId="1B967028" w14:textId="77777777" w:rsidTr="00DD2F81">
      <w:tc>
        <w:tcPr>
          <w:tcW w:w="1526" w:type="dxa"/>
        </w:tcPr>
        <w:p w14:paraId="66CE9674" w14:textId="77777777" w:rsidR="00EC3A42" w:rsidRPr="005806F8" w:rsidRDefault="00EC3A42" w:rsidP="00EC3A42">
          <w:pPr>
            <w:rPr>
              <w:rFonts w:ascii="Verdana" w:hAnsi="Verdana"/>
              <w:b/>
              <w:bCs/>
              <w:i w:val="0"/>
            </w:rPr>
          </w:pPr>
          <w:r w:rsidRPr="005806F8">
            <w:rPr>
              <w:rFonts w:ascii="Verdana" w:hAnsi="Verdana"/>
              <w:b/>
              <w:bCs/>
              <w:i w:val="0"/>
              <w:sz w:val="22"/>
              <w:szCs w:val="22"/>
            </w:rPr>
            <w:t>ASUNTO:</w:t>
          </w:r>
        </w:p>
      </w:tc>
      <w:tc>
        <w:tcPr>
          <w:tcW w:w="7737" w:type="dxa"/>
        </w:tcPr>
        <w:p w14:paraId="1E6ECC0A" w14:textId="3EA8BE0A" w:rsidR="00EC3A42" w:rsidRPr="00DA5AB3" w:rsidRDefault="00A3716E" w:rsidP="00DA5AB3">
          <w:pPr>
            <w:jc w:val="both"/>
            <w:rPr>
              <w:rFonts w:ascii="Verdana" w:hAnsi="Verdana"/>
              <w:b/>
              <w:bCs/>
              <w:i w:val="0"/>
              <w:sz w:val="22"/>
              <w:szCs w:val="22"/>
            </w:rPr>
          </w:pPr>
          <w:r w:rsidRPr="00DA5AB3">
            <w:rPr>
              <w:rFonts w:ascii="Verdana" w:hAnsi="Verdana"/>
              <w:b/>
              <w:bCs/>
              <w:i w:val="0"/>
              <w:sz w:val="22"/>
              <w:szCs w:val="22"/>
            </w:rPr>
            <w:t xml:space="preserve">POR LA CUAL SE </w:t>
          </w:r>
          <w:r w:rsidR="000D3011">
            <w:rPr>
              <w:rFonts w:ascii="Verdana" w:hAnsi="Verdana"/>
              <w:b/>
              <w:bCs/>
              <w:i w:val="0"/>
              <w:sz w:val="22"/>
              <w:szCs w:val="22"/>
            </w:rPr>
            <w:t>MODIFICA</w:t>
          </w:r>
          <w:r w:rsidR="00DA5AB3">
            <w:rPr>
              <w:rFonts w:ascii="Verdana" w:hAnsi="Verdana"/>
              <w:b/>
              <w:bCs/>
              <w:i w:val="0"/>
              <w:sz w:val="22"/>
              <w:szCs w:val="22"/>
            </w:rPr>
            <w:t xml:space="preserve"> LA APLICACIÓN DE </w:t>
          </w:r>
          <w:r w:rsidR="00DA5AB3" w:rsidRPr="00DA5AB3">
            <w:rPr>
              <w:rFonts w:ascii="Verdana" w:hAnsi="Verdana"/>
              <w:b/>
              <w:bCs/>
              <w:i w:val="0"/>
              <w:sz w:val="22"/>
              <w:szCs w:val="22"/>
            </w:rPr>
            <w:t>LOS MODELOS DE REFERENCIA PARA EL CÁLCULO DE LA PÉRDIDA</w:t>
          </w:r>
          <w:r w:rsidR="00DA5AB3">
            <w:rPr>
              <w:rFonts w:ascii="Verdana" w:hAnsi="Verdana"/>
              <w:b/>
              <w:bCs/>
              <w:i w:val="0"/>
              <w:sz w:val="22"/>
              <w:szCs w:val="22"/>
            </w:rPr>
            <w:t xml:space="preserve"> </w:t>
          </w:r>
          <w:r w:rsidR="00DA5AB3" w:rsidRPr="00DA5AB3">
            <w:rPr>
              <w:rFonts w:ascii="Verdana" w:hAnsi="Verdana"/>
              <w:b/>
              <w:bCs/>
              <w:i w:val="0"/>
              <w:sz w:val="22"/>
              <w:szCs w:val="22"/>
            </w:rPr>
            <w:t xml:space="preserve">ESPERADA, MENCIONADOS EN EL NUMERAL 5.3. </w:t>
          </w:r>
          <w:r w:rsidR="00DA5AB3">
            <w:rPr>
              <w:rFonts w:ascii="Verdana" w:hAnsi="Verdana"/>
              <w:b/>
              <w:bCs/>
              <w:i w:val="0"/>
              <w:sz w:val="22"/>
              <w:szCs w:val="22"/>
            </w:rPr>
            <w:t xml:space="preserve">Y EL ANEXO 2 </w:t>
          </w:r>
          <w:r w:rsidR="00DA5AB3" w:rsidRPr="00DA5AB3">
            <w:rPr>
              <w:rFonts w:ascii="Verdana" w:hAnsi="Verdana"/>
              <w:b/>
              <w:bCs/>
              <w:i w:val="0"/>
              <w:sz w:val="22"/>
              <w:szCs w:val="22"/>
            </w:rPr>
            <w:t>DE</w:t>
          </w:r>
          <w:r w:rsidR="00DA5AB3">
            <w:rPr>
              <w:rFonts w:ascii="Verdana" w:hAnsi="Verdana"/>
              <w:b/>
              <w:bCs/>
              <w:i w:val="0"/>
              <w:sz w:val="22"/>
              <w:szCs w:val="22"/>
            </w:rPr>
            <w:t>L</w:t>
          </w:r>
          <w:r w:rsidR="00DA5AB3" w:rsidRPr="00DA5AB3">
            <w:rPr>
              <w:rFonts w:ascii="Verdana" w:hAnsi="Verdana"/>
              <w:b/>
              <w:bCs/>
              <w:i w:val="0"/>
              <w:sz w:val="22"/>
              <w:szCs w:val="22"/>
            </w:rPr>
            <w:t xml:space="preserve"> CAPÍTULO</w:t>
          </w:r>
          <w:r w:rsidR="00DA5AB3">
            <w:rPr>
              <w:rFonts w:ascii="Verdana" w:hAnsi="Verdana"/>
              <w:b/>
              <w:bCs/>
              <w:i w:val="0"/>
              <w:sz w:val="22"/>
              <w:szCs w:val="22"/>
            </w:rPr>
            <w:t xml:space="preserve"> II</w:t>
          </w:r>
          <w:r w:rsidR="00DA5AB3" w:rsidRPr="00DA5AB3">
            <w:rPr>
              <w:rFonts w:ascii="Verdana" w:hAnsi="Verdana"/>
              <w:b/>
              <w:bCs/>
              <w:i w:val="0"/>
              <w:sz w:val="22"/>
              <w:szCs w:val="22"/>
            </w:rPr>
            <w:t>,</w:t>
          </w:r>
          <w:r w:rsidR="00DA5AB3">
            <w:rPr>
              <w:rFonts w:ascii="Verdana" w:hAnsi="Verdana"/>
              <w:b/>
              <w:bCs/>
              <w:i w:val="0"/>
              <w:sz w:val="22"/>
              <w:szCs w:val="22"/>
            </w:rPr>
            <w:t xml:space="preserve"> TÍTULO IV DE LA CIRCULAR BÁSICA CONTABLE Y FINANCIERA.</w:t>
          </w:r>
        </w:p>
      </w:tc>
    </w:tr>
    <w:tr w:rsidR="00EC3A42" w:rsidRPr="005806F8" w14:paraId="0074D0B9" w14:textId="77777777" w:rsidTr="00DD2F81">
      <w:tc>
        <w:tcPr>
          <w:tcW w:w="1526" w:type="dxa"/>
        </w:tcPr>
        <w:p w14:paraId="75595DCF" w14:textId="77777777" w:rsidR="00EC3A42" w:rsidRPr="005806F8" w:rsidRDefault="00EC3A42" w:rsidP="00EC3A42">
          <w:pPr>
            <w:rPr>
              <w:rFonts w:ascii="Verdana" w:hAnsi="Verdana"/>
              <w:b/>
              <w:bCs/>
              <w:i w:val="0"/>
            </w:rPr>
          </w:pPr>
          <w:r w:rsidRPr="005806F8">
            <w:rPr>
              <w:rFonts w:ascii="Verdana" w:hAnsi="Verdana"/>
              <w:b/>
              <w:bCs/>
              <w:i w:val="0"/>
              <w:sz w:val="22"/>
              <w:szCs w:val="22"/>
            </w:rPr>
            <w:t>FECHA:</w:t>
          </w:r>
        </w:p>
      </w:tc>
      <w:tc>
        <w:tcPr>
          <w:tcW w:w="7737" w:type="dxa"/>
        </w:tcPr>
        <w:p w14:paraId="0070BFA5" w14:textId="77777777" w:rsidR="00EC3A42" w:rsidRPr="00DA5AB3" w:rsidRDefault="00EC3A42" w:rsidP="00EC3A42">
          <w:pPr>
            <w:rPr>
              <w:rFonts w:ascii="Verdana" w:hAnsi="Verdana"/>
              <w:b/>
              <w:bCs/>
              <w:i w:val="0"/>
              <w:sz w:val="22"/>
              <w:szCs w:val="22"/>
            </w:rPr>
          </w:pPr>
          <w:r w:rsidRPr="00DA5AB3">
            <w:rPr>
              <w:rFonts w:ascii="Verdana" w:hAnsi="Verdana"/>
              <w:b/>
              <w:bCs/>
              <w:i w:val="0"/>
              <w:sz w:val="22"/>
              <w:szCs w:val="22"/>
            </w:rPr>
            <w:t xml:space="preserve">Bogotá D.C., </w:t>
          </w:r>
          <w:bookmarkStart w:id="4" w:name="fecassignedlong"/>
          <w:r w:rsidRPr="00DA5AB3">
            <w:rPr>
              <w:rFonts w:ascii="Verdana" w:hAnsi="Verdana"/>
              <w:b/>
              <w:bCs/>
              <w:i w:val="0"/>
              <w:sz w:val="22"/>
              <w:szCs w:val="22"/>
            </w:rPr>
            <w:t xml:space="preserve">  </w:t>
          </w:r>
          <w:bookmarkEnd w:id="4"/>
        </w:p>
      </w:tc>
    </w:tr>
  </w:tbl>
  <w:p w14:paraId="1C77EA07" w14:textId="77777777" w:rsidR="00EC3A42" w:rsidRPr="005806F8" w:rsidRDefault="00EC3A42" w:rsidP="00EC3A42">
    <w:pPr>
      <w:rPr>
        <w:rFonts w:ascii="Verdana" w:hAnsi="Verdana"/>
        <w:b/>
        <w:bCs/>
        <w:i w:val="0"/>
      </w:rPr>
    </w:pPr>
  </w:p>
  <w:p w14:paraId="3F59E2F3" w14:textId="77777777" w:rsidR="00EC3A42" w:rsidRPr="005806F8" w:rsidRDefault="00073528" w:rsidP="00EC3A42">
    <w:pPr>
      <w:rPr>
        <w:rFonts w:ascii="Verdana" w:hAnsi="Verdana"/>
        <w:b/>
        <w:bCs/>
        <w:i w:val="0"/>
        <w:sz w:val="22"/>
        <w:szCs w:val="22"/>
      </w:rPr>
    </w:pPr>
    <w:r w:rsidRPr="005806F8">
      <w:rPr>
        <w:rFonts w:ascii="Verdana" w:hAnsi="Verdana"/>
        <w:noProof/>
        <w:lang w:eastAsia="es-CO"/>
      </w:rPr>
      <mc:AlternateContent>
        <mc:Choice Requires="wps">
          <w:drawing>
            <wp:anchor distT="0" distB="0" distL="114300" distR="114300" simplePos="0" relativeHeight="251667456" behindDoc="0" locked="0" layoutInCell="1" allowOverlap="1" wp14:anchorId="27DECFC9" wp14:editId="29D62CC2">
              <wp:simplePos x="0" y="0"/>
              <wp:positionH relativeFrom="column">
                <wp:posOffset>9525</wp:posOffset>
              </wp:positionH>
              <wp:positionV relativeFrom="paragraph">
                <wp:posOffset>71120</wp:posOffset>
              </wp:positionV>
              <wp:extent cx="5638800" cy="0"/>
              <wp:effectExtent l="28575" t="33020" r="28575" b="33655"/>
              <wp:wrapTopAndBottom/>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915A" id="Line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6pt" to="444.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" strokeweight="4.5pt">
              <v:stroke linestyle="thinThick"/>
              <w10:wrap type="topAndBottom"/>
            </v:line>
          </w:pict>
        </mc:Fallback>
      </mc:AlternateContent>
    </w:r>
  </w:p>
  <w:p w14:paraId="76644BA5" w14:textId="49E87D20" w:rsidR="00EC3A42" w:rsidRPr="005806F8" w:rsidRDefault="00EC3A42" w:rsidP="00EC3A42">
    <w:pPr>
      <w:ind w:right="-59"/>
      <w:rPr>
        <w:rFonts w:ascii="Verdana" w:hAnsi="Verdana"/>
        <w:bCs/>
        <w:sz w:val="18"/>
        <w:szCs w:val="18"/>
        <w:lang w:val="es-ES_tradnl"/>
      </w:rPr>
    </w:pPr>
  </w:p>
  <w:p w14:paraId="00B6E67E" w14:textId="11CC6428" w:rsidR="00EC3A42" w:rsidRPr="005806F8" w:rsidRDefault="00A3716E" w:rsidP="00EC3A42">
    <w:pPr>
      <w:ind w:right="-59"/>
      <w:rPr>
        <w:rFonts w:ascii="Verdana" w:hAnsi="Verdana"/>
        <w:sz w:val="18"/>
        <w:szCs w:val="18"/>
      </w:rPr>
    </w:pPr>
    <w:r>
      <w:rPr>
        <w:rFonts w:ascii="Verdana" w:hAnsi="Verdana"/>
        <w:bCs/>
        <w:sz w:val="18"/>
        <w:szCs w:val="18"/>
        <w:lang w:val="es-ES_tradnl"/>
      </w:rPr>
      <w:t>140</w:t>
    </w:r>
    <w:r w:rsidR="00EC3A42" w:rsidRPr="005806F8">
      <w:rPr>
        <w:rFonts w:ascii="Verdana" w:hAnsi="Verdana"/>
        <w:bCs/>
        <w:sz w:val="18"/>
        <w:szCs w:val="18"/>
        <w:lang w:val="es-ES_tradnl"/>
      </w:rPr>
      <w:t xml:space="preserve"> - Circular Externa No. </w:t>
    </w:r>
    <w:bookmarkStart w:id="5" w:name="numassigned_1"/>
    <w:r w:rsidR="00EC3A42" w:rsidRPr="005806F8">
      <w:rPr>
        <w:rFonts w:ascii="Verdana" w:hAnsi="Verdana"/>
        <w:bCs/>
        <w:sz w:val="18"/>
        <w:szCs w:val="18"/>
        <w:lang w:val="es-ES_tradnl"/>
      </w:rPr>
      <w:t xml:space="preserve">  </w:t>
    </w:r>
    <w:bookmarkEnd w:id="5"/>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Style w:val="Nmerodepgina"/>
        <w:rFonts w:ascii="Verdana" w:hAnsi="Verdana" w:cs="Arial"/>
        <w:iCs/>
        <w:sz w:val="18"/>
        <w:szCs w:val="18"/>
      </w:rPr>
      <w:t xml:space="preserve">Página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PAGE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r w:rsidR="00EC3A42" w:rsidRPr="005806F8">
      <w:rPr>
        <w:rStyle w:val="Nmerodepgina"/>
        <w:rFonts w:ascii="Verdana" w:hAnsi="Verdana" w:cs="Arial"/>
        <w:iCs/>
        <w:sz w:val="18"/>
        <w:szCs w:val="18"/>
      </w:rPr>
      <w:t xml:space="preserve"> de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NUMPAGES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p>
  <w:p w14:paraId="03B51278" w14:textId="72B3BAFE" w:rsidR="000F7FD7" w:rsidRDefault="000F7FD7" w:rsidP="007B0A3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BDB14BC"/>
    <w:multiLevelType w:val="multilevel"/>
    <w:tmpl w:val="57D8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40295"/>
    <w:multiLevelType w:val="hybridMultilevel"/>
    <w:tmpl w:val="8F9E0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8D7405"/>
    <w:multiLevelType w:val="hybridMultilevel"/>
    <w:tmpl w:val="87F67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D83AED"/>
    <w:multiLevelType w:val="hybridMultilevel"/>
    <w:tmpl w:val="7DC8EBE0"/>
    <w:lvl w:ilvl="0" w:tplc="DA6C1568">
      <w:numFmt w:val="bullet"/>
      <w:lvlText w:val="-"/>
      <w:lvlJc w:val="left"/>
      <w:pPr>
        <w:tabs>
          <w:tab w:val="num" w:pos="600"/>
        </w:tabs>
        <w:ind w:left="600" w:hanging="360"/>
      </w:pPr>
      <w:rPr>
        <w:rFonts w:ascii="Arial" w:eastAsia="Times New Roman" w:hAnsi="Arial"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1E8E6D23"/>
    <w:multiLevelType w:val="multilevel"/>
    <w:tmpl w:val="2ED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E3C4F"/>
    <w:multiLevelType w:val="hybridMultilevel"/>
    <w:tmpl w:val="C17EA90A"/>
    <w:lvl w:ilvl="0" w:tplc="757478F4">
      <w:start w:val="2"/>
      <w:numFmt w:val="upperRoman"/>
      <w:lvlText w:val="%1."/>
      <w:lvlJc w:val="right"/>
      <w:pPr>
        <w:tabs>
          <w:tab w:val="num" w:pos="720"/>
        </w:tabs>
        <w:ind w:left="720" w:hanging="360"/>
      </w:pPr>
    </w:lvl>
    <w:lvl w:ilvl="1" w:tplc="C48CD0AA" w:tentative="1">
      <w:start w:val="1"/>
      <w:numFmt w:val="decimal"/>
      <w:lvlText w:val="%2."/>
      <w:lvlJc w:val="left"/>
      <w:pPr>
        <w:tabs>
          <w:tab w:val="num" w:pos="1440"/>
        </w:tabs>
        <w:ind w:left="1440" w:hanging="360"/>
      </w:pPr>
    </w:lvl>
    <w:lvl w:ilvl="2" w:tplc="BC22FA04" w:tentative="1">
      <w:start w:val="1"/>
      <w:numFmt w:val="decimal"/>
      <w:lvlText w:val="%3."/>
      <w:lvlJc w:val="left"/>
      <w:pPr>
        <w:tabs>
          <w:tab w:val="num" w:pos="2160"/>
        </w:tabs>
        <w:ind w:left="2160" w:hanging="360"/>
      </w:pPr>
    </w:lvl>
    <w:lvl w:ilvl="3" w:tplc="227A2BE2" w:tentative="1">
      <w:start w:val="1"/>
      <w:numFmt w:val="decimal"/>
      <w:lvlText w:val="%4."/>
      <w:lvlJc w:val="left"/>
      <w:pPr>
        <w:tabs>
          <w:tab w:val="num" w:pos="2880"/>
        </w:tabs>
        <w:ind w:left="2880" w:hanging="360"/>
      </w:pPr>
    </w:lvl>
    <w:lvl w:ilvl="4" w:tplc="EBA22B62" w:tentative="1">
      <w:start w:val="1"/>
      <w:numFmt w:val="decimal"/>
      <w:lvlText w:val="%5."/>
      <w:lvlJc w:val="left"/>
      <w:pPr>
        <w:tabs>
          <w:tab w:val="num" w:pos="3600"/>
        </w:tabs>
        <w:ind w:left="3600" w:hanging="360"/>
      </w:pPr>
    </w:lvl>
    <w:lvl w:ilvl="5" w:tplc="D812EA36" w:tentative="1">
      <w:start w:val="1"/>
      <w:numFmt w:val="decimal"/>
      <w:lvlText w:val="%6."/>
      <w:lvlJc w:val="left"/>
      <w:pPr>
        <w:tabs>
          <w:tab w:val="num" w:pos="4320"/>
        </w:tabs>
        <w:ind w:left="4320" w:hanging="360"/>
      </w:pPr>
    </w:lvl>
    <w:lvl w:ilvl="6" w:tplc="A9A2280A" w:tentative="1">
      <w:start w:val="1"/>
      <w:numFmt w:val="decimal"/>
      <w:lvlText w:val="%7."/>
      <w:lvlJc w:val="left"/>
      <w:pPr>
        <w:tabs>
          <w:tab w:val="num" w:pos="5040"/>
        </w:tabs>
        <w:ind w:left="5040" w:hanging="360"/>
      </w:pPr>
    </w:lvl>
    <w:lvl w:ilvl="7" w:tplc="8EC6BBFC" w:tentative="1">
      <w:start w:val="1"/>
      <w:numFmt w:val="decimal"/>
      <w:lvlText w:val="%8."/>
      <w:lvlJc w:val="left"/>
      <w:pPr>
        <w:tabs>
          <w:tab w:val="num" w:pos="5760"/>
        </w:tabs>
        <w:ind w:left="5760" w:hanging="360"/>
      </w:pPr>
    </w:lvl>
    <w:lvl w:ilvl="8" w:tplc="32462A32" w:tentative="1">
      <w:start w:val="1"/>
      <w:numFmt w:val="decimal"/>
      <w:lvlText w:val="%9."/>
      <w:lvlJc w:val="left"/>
      <w:pPr>
        <w:tabs>
          <w:tab w:val="num" w:pos="6480"/>
        </w:tabs>
        <w:ind w:left="6480" w:hanging="360"/>
      </w:pPr>
    </w:lvl>
  </w:abstractNum>
  <w:abstractNum w:abstractNumId="7" w15:restartNumberingAfterBreak="0">
    <w:nsid w:val="349739A2"/>
    <w:multiLevelType w:val="multilevel"/>
    <w:tmpl w:val="6A6E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512E9"/>
    <w:multiLevelType w:val="multilevel"/>
    <w:tmpl w:val="31F0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27882"/>
    <w:multiLevelType w:val="multilevel"/>
    <w:tmpl w:val="E33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726F2"/>
    <w:multiLevelType w:val="multilevel"/>
    <w:tmpl w:val="996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43818"/>
    <w:multiLevelType w:val="hybridMultilevel"/>
    <w:tmpl w:val="486A6448"/>
    <w:lvl w:ilvl="0" w:tplc="B2E47B44">
      <w:start w:val="3"/>
      <w:numFmt w:val="upperRoman"/>
      <w:lvlText w:val="%1."/>
      <w:lvlJc w:val="right"/>
      <w:pPr>
        <w:tabs>
          <w:tab w:val="num" w:pos="720"/>
        </w:tabs>
        <w:ind w:left="720" w:hanging="360"/>
      </w:pPr>
    </w:lvl>
    <w:lvl w:ilvl="1" w:tplc="6A887908" w:tentative="1">
      <w:start w:val="1"/>
      <w:numFmt w:val="decimal"/>
      <w:lvlText w:val="%2."/>
      <w:lvlJc w:val="left"/>
      <w:pPr>
        <w:tabs>
          <w:tab w:val="num" w:pos="1440"/>
        </w:tabs>
        <w:ind w:left="1440" w:hanging="360"/>
      </w:pPr>
    </w:lvl>
    <w:lvl w:ilvl="2" w:tplc="9AFAE1C8" w:tentative="1">
      <w:start w:val="1"/>
      <w:numFmt w:val="decimal"/>
      <w:lvlText w:val="%3."/>
      <w:lvlJc w:val="left"/>
      <w:pPr>
        <w:tabs>
          <w:tab w:val="num" w:pos="2160"/>
        </w:tabs>
        <w:ind w:left="2160" w:hanging="360"/>
      </w:pPr>
    </w:lvl>
    <w:lvl w:ilvl="3" w:tplc="33F83766" w:tentative="1">
      <w:start w:val="1"/>
      <w:numFmt w:val="decimal"/>
      <w:lvlText w:val="%4."/>
      <w:lvlJc w:val="left"/>
      <w:pPr>
        <w:tabs>
          <w:tab w:val="num" w:pos="2880"/>
        </w:tabs>
        <w:ind w:left="2880" w:hanging="360"/>
      </w:pPr>
    </w:lvl>
    <w:lvl w:ilvl="4" w:tplc="AEA45528" w:tentative="1">
      <w:start w:val="1"/>
      <w:numFmt w:val="decimal"/>
      <w:lvlText w:val="%5."/>
      <w:lvlJc w:val="left"/>
      <w:pPr>
        <w:tabs>
          <w:tab w:val="num" w:pos="3600"/>
        </w:tabs>
        <w:ind w:left="3600" w:hanging="360"/>
      </w:pPr>
    </w:lvl>
    <w:lvl w:ilvl="5" w:tplc="55307424" w:tentative="1">
      <w:start w:val="1"/>
      <w:numFmt w:val="decimal"/>
      <w:lvlText w:val="%6."/>
      <w:lvlJc w:val="left"/>
      <w:pPr>
        <w:tabs>
          <w:tab w:val="num" w:pos="4320"/>
        </w:tabs>
        <w:ind w:left="4320" w:hanging="360"/>
      </w:pPr>
    </w:lvl>
    <w:lvl w:ilvl="6" w:tplc="FB6632BE" w:tentative="1">
      <w:start w:val="1"/>
      <w:numFmt w:val="decimal"/>
      <w:lvlText w:val="%7."/>
      <w:lvlJc w:val="left"/>
      <w:pPr>
        <w:tabs>
          <w:tab w:val="num" w:pos="5040"/>
        </w:tabs>
        <w:ind w:left="5040" w:hanging="360"/>
      </w:pPr>
    </w:lvl>
    <w:lvl w:ilvl="7" w:tplc="020AAF1C" w:tentative="1">
      <w:start w:val="1"/>
      <w:numFmt w:val="decimal"/>
      <w:lvlText w:val="%8."/>
      <w:lvlJc w:val="left"/>
      <w:pPr>
        <w:tabs>
          <w:tab w:val="num" w:pos="5760"/>
        </w:tabs>
        <w:ind w:left="5760" w:hanging="360"/>
      </w:pPr>
    </w:lvl>
    <w:lvl w:ilvl="8" w:tplc="79D41F72" w:tentative="1">
      <w:start w:val="1"/>
      <w:numFmt w:val="decimal"/>
      <w:lvlText w:val="%9."/>
      <w:lvlJc w:val="left"/>
      <w:pPr>
        <w:tabs>
          <w:tab w:val="num" w:pos="6480"/>
        </w:tabs>
        <w:ind w:left="6480" w:hanging="360"/>
      </w:pPr>
    </w:lvl>
  </w:abstractNum>
  <w:abstractNum w:abstractNumId="12" w15:restartNumberingAfterBreak="0">
    <w:nsid w:val="544D4FC3"/>
    <w:multiLevelType w:val="hybridMultilevel"/>
    <w:tmpl w:val="56383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2C4DF2"/>
    <w:multiLevelType w:val="hybridMultilevel"/>
    <w:tmpl w:val="0DEA46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2AB6BAE"/>
    <w:multiLevelType w:val="multilevel"/>
    <w:tmpl w:val="A6966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8C2CD6"/>
    <w:multiLevelType w:val="multilevel"/>
    <w:tmpl w:val="8A1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86914">
    <w:abstractNumId w:val="0"/>
  </w:num>
  <w:num w:numId="2" w16cid:durableId="1145925625">
    <w:abstractNumId w:val="4"/>
  </w:num>
  <w:num w:numId="3" w16cid:durableId="105081697">
    <w:abstractNumId w:val="14"/>
    <w:lvlOverride w:ilvl="0">
      <w:lvl w:ilvl="0">
        <w:numFmt w:val="upperRoman"/>
        <w:lvlText w:val="%1."/>
        <w:lvlJc w:val="right"/>
      </w:lvl>
    </w:lvlOverride>
  </w:num>
  <w:num w:numId="4" w16cid:durableId="1248464764">
    <w:abstractNumId w:val="6"/>
  </w:num>
  <w:num w:numId="5" w16cid:durableId="1825587497">
    <w:abstractNumId w:val="10"/>
  </w:num>
  <w:num w:numId="6" w16cid:durableId="496456759">
    <w:abstractNumId w:val="7"/>
  </w:num>
  <w:num w:numId="7" w16cid:durableId="713308783">
    <w:abstractNumId w:val="11"/>
  </w:num>
  <w:num w:numId="8" w16cid:durableId="1304042933">
    <w:abstractNumId w:val="15"/>
  </w:num>
  <w:num w:numId="9" w16cid:durableId="1702438120">
    <w:abstractNumId w:val="1"/>
  </w:num>
  <w:num w:numId="10" w16cid:durableId="1921408692">
    <w:abstractNumId w:val="9"/>
  </w:num>
  <w:num w:numId="11" w16cid:durableId="1689794242">
    <w:abstractNumId w:val="5"/>
  </w:num>
  <w:num w:numId="12" w16cid:durableId="1393843016">
    <w:abstractNumId w:val="8"/>
  </w:num>
  <w:num w:numId="13" w16cid:durableId="1752236833">
    <w:abstractNumId w:val="13"/>
  </w:num>
  <w:num w:numId="14" w16cid:durableId="1939559968">
    <w:abstractNumId w:val="3"/>
  </w:num>
  <w:num w:numId="15" w16cid:durableId="1892768978">
    <w:abstractNumId w:val="12"/>
  </w:num>
  <w:num w:numId="16" w16cid:durableId="972298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1A"/>
    <w:rsid w:val="00000E7D"/>
    <w:rsid w:val="00004C87"/>
    <w:rsid w:val="00006165"/>
    <w:rsid w:val="0001093F"/>
    <w:rsid w:val="00025BB6"/>
    <w:rsid w:val="00030575"/>
    <w:rsid w:val="000315A7"/>
    <w:rsid w:val="00033944"/>
    <w:rsid w:val="00057D76"/>
    <w:rsid w:val="00061121"/>
    <w:rsid w:val="00065AD0"/>
    <w:rsid w:val="00070BC6"/>
    <w:rsid w:val="00073528"/>
    <w:rsid w:val="00090BFD"/>
    <w:rsid w:val="0009535C"/>
    <w:rsid w:val="000954A0"/>
    <w:rsid w:val="000966A4"/>
    <w:rsid w:val="000977CF"/>
    <w:rsid w:val="000B1429"/>
    <w:rsid w:val="000C0C1F"/>
    <w:rsid w:val="000C754E"/>
    <w:rsid w:val="000D02DD"/>
    <w:rsid w:val="000D3011"/>
    <w:rsid w:val="000E2344"/>
    <w:rsid w:val="000E4ECE"/>
    <w:rsid w:val="000F2D06"/>
    <w:rsid w:val="000F7FD7"/>
    <w:rsid w:val="0010144F"/>
    <w:rsid w:val="00152490"/>
    <w:rsid w:val="0016084B"/>
    <w:rsid w:val="001677C9"/>
    <w:rsid w:val="001B2992"/>
    <w:rsid w:val="001B6D00"/>
    <w:rsid w:val="001C65B7"/>
    <w:rsid w:val="001D2B49"/>
    <w:rsid w:val="00203587"/>
    <w:rsid w:val="00212EFF"/>
    <w:rsid w:val="0022466C"/>
    <w:rsid w:val="00234C34"/>
    <w:rsid w:val="002351B1"/>
    <w:rsid w:val="00253EB8"/>
    <w:rsid w:val="00254439"/>
    <w:rsid w:val="0026227A"/>
    <w:rsid w:val="00263D1D"/>
    <w:rsid w:val="0026518F"/>
    <w:rsid w:val="0028184C"/>
    <w:rsid w:val="00285323"/>
    <w:rsid w:val="00291540"/>
    <w:rsid w:val="003035F4"/>
    <w:rsid w:val="00322746"/>
    <w:rsid w:val="00325A55"/>
    <w:rsid w:val="003563C1"/>
    <w:rsid w:val="00356E72"/>
    <w:rsid w:val="00370384"/>
    <w:rsid w:val="00381DBD"/>
    <w:rsid w:val="00390900"/>
    <w:rsid w:val="00396955"/>
    <w:rsid w:val="003A3492"/>
    <w:rsid w:val="003C3D0E"/>
    <w:rsid w:val="003D61CC"/>
    <w:rsid w:val="003D6D72"/>
    <w:rsid w:val="003E3473"/>
    <w:rsid w:val="003E3584"/>
    <w:rsid w:val="003E6DAB"/>
    <w:rsid w:val="003F2AD2"/>
    <w:rsid w:val="0041110A"/>
    <w:rsid w:val="00420671"/>
    <w:rsid w:val="0042088F"/>
    <w:rsid w:val="00425E2C"/>
    <w:rsid w:val="00461C9B"/>
    <w:rsid w:val="004A0367"/>
    <w:rsid w:val="004B736C"/>
    <w:rsid w:val="004D23D7"/>
    <w:rsid w:val="004D7D98"/>
    <w:rsid w:val="004F507D"/>
    <w:rsid w:val="00507BF0"/>
    <w:rsid w:val="00522339"/>
    <w:rsid w:val="00546DC4"/>
    <w:rsid w:val="00563052"/>
    <w:rsid w:val="005806F8"/>
    <w:rsid w:val="005C6A05"/>
    <w:rsid w:val="005E1E88"/>
    <w:rsid w:val="005E348E"/>
    <w:rsid w:val="005E5D43"/>
    <w:rsid w:val="006164C0"/>
    <w:rsid w:val="00652AC9"/>
    <w:rsid w:val="0065307B"/>
    <w:rsid w:val="00662E12"/>
    <w:rsid w:val="006646E0"/>
    <w:rsid w:val="0066566A"/>
    <w:rsid w:val="00680C7A"/>
    <w:rsid w:val="0069430D"/>
    <w:rsid w:val="00696F6D"/>
    <w:rsid w:val="006A1B4A"/>
    <w:rsid w:val="006A4EE0"/>
    <w:rsid w:val="006A57E3"/>
    <w:rsid w:val="006B2104"/>
    <w:rsid w:val="006B3499"/>
    <w:rsid w:val="006E5D83"/>
    <w:rsid w:val="006F7517"/>
    <w:rsid w:val="007060DD"/>
    <w:rsid w:val="00723E92"/>
    <w:rsid w:val="007428BE"/>
    <w:rsid w:val="007611E6"/>
    <w:rsid w:val="007674E7"/>
    <w:rsid w:val="00773ACA"/>
    <w:rsid w:val="007922E4"/>
    <w:rsid w:val="007B0A34"/>
    <w:rsid w:val="007C178A"/>
    <w:rsid w:val="007F6590"/>
    <w:rsid w:val="00811BD8"/>
    <w:rsid w:val="0082573D"/>
    <w:rsid w:val="0083656C"/>
    <w:rsid w:val="00841658"/>
    <w:rsid w:val="008563F9"/>
    <w:rsid w:val="00857C4C"/>
    <w:rsid w:val="008731A8"/>
    <w:rsid w:val="00877CB5"/>
    <w:rsid w:val="00883F53"/>
    <w:rsid w:val="008F060B"/>
    <w:rsid w:val="00921409"/>
    <w:rsid w:val="00951534"/>
    <w:rsid w:val="0098441A"/>
    <w:rsid w:val="009B02E7"/>
    <w:rsid w:val="009B7B66"/>
    <w:rsid w:val="009C7158"/>
    <w:rsid w:val="009D5440"/>
    <w:rsid w:val="009F476E"/>
    <w:rsid w:val="00A04409"/>
    <w:rsid w:val="00A04A27"/>
    <w:rsid w:val="00A07251"/>
    <w:rsid w:val="00A2658D"/>
    <w:rsid w:val="00A2723F"/>
    <w:rsid w:val="00A3716E"/>
    <w:rsid w:val="00A41B0D"/>
    <w:rsid w:val="00A671E6"/>
    <w:rsid w:val="00AA23A2"/>
    <w:rsid w:val="00AB4021"/>
    <w:rsid w:val="00AD1E04"/>
    <w:rsid w:val="00AD5A52"/>
    <w:rsid w:val="00B05DB5"/>
    <w:rsid w:val="00B16792"/>
    <w:rsid w:val="00B466D5"/>
    <w:rsid w:val="00B554C1"/>
    <w:rsid w:val="00B62C65"/>
    <w:rsid w:val="00B730EC"/>
    <w:rsid w:val="00B868AF"/>
    <w:rsid w:val="00BB6319"/>
    <w:rsid w:val="00BD17A4"/>
    <w:rsid w:val="00BD64CC"/>
    <w:rsid w:val="00BF3EC9"/>
    <w:rsid w:val="00BF4A5A"/>
    <w:rsid w:val="00C02A69"/>
    <w:rsid w:val="00C33ADE"/>
    <w:rsid w:val="00C64ECE"/>
    <w:rsid w:val="00C67CE1"/>
    <w:rsid w:val="00CA55A0"/>
    <w:rsid w:val="00CF5F53"/>
    <w:rsid w:val="00D072BA"/>
    <w:rsid w:val="00D52E5D"/>
    <w:rsid w:val="00D60B6D"/>
    <w:rsid w:val="00D61844"/>
    <w:rsid w:val="00D61EB4"/>
    <w:rsid w:val="00D635A6"/>
    <w:rsid w:val="00DA5AB3"/>
    <w:rsid w:val="00DB19C7"/>
    <w:rsid w:val="00DC43DE"/>
    <w:rsid w:val="00DD334C"/>
    <w:rsid w:val="00DF1DDD"/>
    <w:rsid w:val="00E04C99"/>
    <w:rsid w:val="00E20347"/>
    <w:rsid w:val="00E7790F"/>
    <w:rsid w:val="00E87A76"/>
    <w:rsid w:val="00EB7284"/>
    <w:rsid w:val="00EC3A42"/>
    <w:rsid w:val="00ED50FC"/>
    <w:rsid w:val="00F14086"/>
    <w:rsid w:val="00F26E50"/>
    <w:rsid w:val="00F3485A"/>
    <w:rsid w:val="00F46734"/>
    <w:rsid w:val="00FA17E0"/>
    <w:rsid w:val="00FA2E8D"/>
    <w:rsid w:val="00FC03F5"/>
    <w:rsid w:val="00FC3503"/>
    <w:rsid w:val="00FC4A28"/>
    <w:rsid w:val="00FD757D"/>
    <w:rsid w:val="00FE2679"/>
    <w:rsid w:val="00FE301E"/>
    <w:rsid w:val="00FE6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6C59C"/>
  <w15:docId w15:val="{FAF16DC5-F27F-4541-B876-5B5F218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2"/>
    <w:pPr>
      <w:suppressAutoHyphens/>
    </w:pPr>
    <w:rPr>
      <w:rFonts w:ascii="Arial" w:hAnsi="Arial" w:cs="Arial"/>
      <w:i/>
      <w:sz w:val="24"/>
      <w:szCs w:val="24"/>
      <w:lang w:val="es-CO" w:eastAsia="ar-SA"/>
    </w:rPr>
  </w:style>
  <w:style w:type="paragraph" w:styleId="Ttulo1">
    <w:name w:val="heading 1"/>
    <w:basedOn w:val="Normal"/>
    <w:next w:val="Normal"/>
    <w:link w:val="Ttulo1Car"/>
    <w:uiPriority w:val="99"/>
    <w:qFormat/>
    <w:rsid w:val="00696F6D"/>
    <w:pPr>
      <w:keepNext/>
      <w:tabs>
        <w:tab w:val="num" w:pos="0"/>
      </w:tabs>
      <w:outlineLvl w:val="0"/>
    </w:pPr>
    <w:rPr>
      <w:b/>
      <w:bCs/>
      <w:i w:val="0"/>
      <w:iCs/>
    </w:rPr>
  </w:style>
  <w:style w:type="paragraph" w:styleId="Ttulo2">
    <w:name w:val="heading 2"/>
    <w:basedOn w:val="Normal"/>
    <w:next w:val="Normal"/>
    <w:link w:val="Ttulo2Car"/>
    <w:uiPriority w:val="99"/>
    <w:qFormat/>
    <w:rsid w:val="00696F6D"/>
    <w:pPr>
      <w:keepNext/>
      <w:tabs>
        <w:tab w:val="num" w:pos="0"/>
      </w:tabs>
      <w:jc w:val="both"/>
      <w:outlineLvl w:val="1"/>
    </w:pPr>
    <w:rPr>
      <w:b/>
      <w:bCs/>
      <w:i w:val="0"/>
      <w:iCs/>
    </w:rPr>
  </w:style>
  <w:style w:type="paragraph" w:styleId="Ttulo3">
    <w:name w:val="heading 3"/>
    <w:basedOn w:val="Normal"/>
    <w:next w:val="Normal"/>
    <w:link w:val="Ttulo3Car"/>
    <w:uiPriority w:val="99"/>
    <w:qFormat/>
    <w:rsid w:val="00696F6D"/>
    <w:pPr>
      <w:keepNext/>
      <w:tabs>
        <w:tab w:val="num" w:pos="0"/>
      </w:tabs>
      <w:outlineLvl w:val="2"/>
    </w:pPr>
    <w:rPr>
      <w:b/>
      <w:bCs/>
      <w:i w:val="0"/>
      <w:iCs/>
      <w:sz w:val="22"/>
    </w:rPr>
  </w:style>
  <w:style w:type="paragraph" w:styleId="Ttulo4">
    <w:name w:val="heading 4"/>
    <w:basedOn w:val="Normal"/>
    <w:next w:val="Normal"/>
    <w:link w:val="Ttulo4Car"/>
    <w:uiPriority w:val="99"/>
    <w:qFormat/>
    <w:rsid w:val="00696F6D"/>
    <w:pPr>
      <w:keepNext/>
      <w:tabs>
        <w:tab w:val="num" w:pos="0"/>
      </w:tabs>
      <w:jc w:val="both"/>
      <w:outlineLvl w:val="3"/>
    </w:pPr>
    <w:rPr>
      <w:rFonts w:ascii="Tahoma" w:hAnsi="Tahoma" w:cs="Tahoma"/>
      <w:b/>
      <w:bCs/>
      <w:i w:val="0"/>
    </w:rPr>
  </w:style>
  <w:style w:type="paragraph" w:styleId="Ttulo5">
    <w:name w:val="heading 5"/>
    <w:basedOn w:val="Normal"/>
    <w:next w:val="Normal"/>
    <w:link w:val="Ttulo5Car"/>
    <w:uiPriority w:val="99"/>
    <w:qFormat/>
    <w:rsid w:val="00696F6D"/>
    <w:pPr>
      <w:keepNext/>
      <w:tabs>
        <w:tab w:val="num" w:pos="0"/>
      </w:tabs>
      <w:jc w:val="both"/>
      <w:outlineLvl w:val="4"/>
    </w:pPr>
  </w:style>
  <w:style w:type="paragraph" w:styleId="Ttulo6">
    <w:name w:val="heading 6"/>
    <w:basedOn w:val="Normal"/>
    <w:next w:val="Normal"/>
    <w:link w:val="Ttulo6Car"/>
    <w:uiPriority w:val="99"/>
    <w:qFormat/>
    <w:rsid w:val="00696F6D"/>
    <w:pPr>
      <w:keepNext/>
      <w:tabs>
        <w:tab w:val="num" w:pos="0"/>
      </w:tabs>
      <w:jc w:val="center"/>
      <w:outlineLvl w:val="5"/>
    </w:pPr>
    <w:rPr>
      <w:b/>
      <w:bCs/>
      <w:i w:val="0"/>
    </w:rPr>
  </w:style>
  <w:style w:type="paragraph" w:styleId="Ttulo7">
    <w:name w:val="heading 7"/>
    <w:basedOn w:val="Normal"/>
    <w:next w:val="Normal"/>
    <w:link w:val="Ttulo7Car"/>
    <w:uiPriority w:val="99"/>
    <w:qFormat/>
    <w:rsid w:val="00696F6D"/>
    <w:pPr>
      <w:keepNext/>
      <w:tabs>
        <w:tab w:val="num" w:pos="0"/>
      </w:tabs>
      <w:outlineLvl w:val="6"/>
    </w:pPr>
    <w:rPr>
      <w:b/>
      <w:bCs/>
      <w:i w:val="0"/>
      <w:iCs/>
      <w:sz w:val="16"/>
    </w:rPr>
  </w:style>
  <w:style w:type="paragraph" w:styleId="Ttulo8">
    <w:name w:val="heading 8"/>
    <w:basedOn w:val="Normal"/>
    <w:next w:val="Normal"/>
    <w:link w:val="Ttulo8Car"/>
    <w:uiPriority w:val="99"/>
    <w:qFormat/>
    <w:rsid w:val="00696F6D"/>
    <w:pPr>
      <w:keepNext/>
      <w:tabs>
        <w:tab w:val="num" w:pos="0"/>
      </w:tabs>
      <w:jc w:val="both"/>
      <w:outlineLvl w:val="7"/>
    </w:pPr>
    <w:rPr>
      <w:b/>
      <w:bCs/>
      <w:i w:val="0"/>
      <w:iCs/>
      <w:sz w:val="22"/>
    </w:rPr>
  </w:style>
  <w:style w:type="paragraph" w:styleId="Ttulo9">
    <w:name w:val="heading 9"/>
    <w:basedOn w:val="Normal"/>
    <w:next w:val="Normal"/>
    <w:link w:val="Ttulo9Car"/>
    <w:uiPriority w:val="99"/>
    <w:qFormat/>
    <w:rsid w:val="00696F6D"/>
    <w:pPr>
      <w:keepNext/>
      <w:tabs>
        <w:tab w:val="num" w:pos="0"/>
      </w:tabs>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i/>
      <w:kern w:val="32"/>
      <w:sz w:val="32"/>
      <w:szCs w:val="32"/>
      <w:lang w:val="es-CO" w:eastAsia="ar-SA" w:bidi="ar-SA"/>
    </w:rPr>
  </w:style>
  <w:style w:type="character" w:customStyle="1" w:styleId="Ttulo2Car">
    <w:name w:val="Título 2 Car"/>
    <w:basedOn w:val="Fuentedeprrafopredeter"/>
    <w:link w:val="Ttulo2"/>
    <w:uiPriority w:val="99"/>
    <w:semiHidden/>
    <w:locked/>
    <w:rPr>
      <w:rFonts w:ascii="Cambria" w:hAnsi="Cambria" w:cs="Times New Roman"/>
      <w:b/>
      <w:bCs/>
      <w:iCs/>
      <w:sz w:val="28"/>
      <w:szCs w:val="28"/>
      <w:lang w:val="es-CO" w:eastAsia="ar-SA" w:bidi="ar-SA"/>
    </w:rPr>
  </w:style>
  <w:style w:type="character" w:customStyle="1" w:styleId="Ttulo3Car">
    <w:name w:val="Título 3 Car"/>
    <w:basedOn w:val="Fuentedeprrafopredeter"/>
    <w:link w:val="Ttulo3"/>
    <w:uiPriority w:val="99"/>
    <w:semiHidden/>
    <w:locked/>
    <w:rPr>
      <w:rFonts w:ascii="Cambria" w:hAnsi="Cambria" w:cs="Times New Roman"/>
      <w:b/>
      <w:bCs/>
      <w:i/>
      <w:sz w:val="26"/>
      <w:szCs w:val="26"/>
      <w:lang w:val="es-CO" w:eastAsia="ar-SA" w:bidi="ar-SA"/>
    </w:rPr>
  </w:style>
  <w:style w:type="character" w:customStyle="1" w:styleId="Ttulo4Car">
    <w:name w:val="Título 4 Car"/>
    <w:basedOn w:val="Fuentedeprrafopredeter"/>
    <w:link w:val="Ttulo4"/>
    <w:uiPriority w:val="99"/>
    <w:semiHidden/>
    <w:locked/>
    <w:rPr>
      <w:rFonts w:ascii="Calibri" w:hAnsi="Calibri" w:cs="Times New Roman"/>
      <w:b/>
      <w:bCs/>
      <w:i/>
      <w:sz w:val="28"/>
      <w:szCs w:val="28"/>
      <w:lang w:val="es-CO" w:eastAsia="ar-SA" w:bidi="ar-SA"/>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CO" w:eastAsia="ar-SA" w:bidi="ar-SA"/>
    </w:rPr>
  </w:style>
  <w:style w:type="character" w:customStyle="1" w:styleId="Ttulo6Car">
    <w:name w:val="Título 6 Car"/>
    <w:basedOn w:val="Fuentedeprrafopredeter"/>
    <w:link w:val="Ttulo6"/>
    <w:uiPriority w:val="99"/>
    <w:semiHidden/>
    <w:locked/>
    <w:rPr>
      <w:rFonts w:ascii="Calibri" w:hAnsi="Calibri" w:cs="Times New Roman"/>
      <w:b/>
      <w:bCs/>
      <w:i/>
      <w:lang w:val="es-CO" w:eastAsia="ar-SA" w:bidi="ar-SA"/>
    </w:rPr>
  </w:style>
  <w:style w:type="character" w:customStyle="1" w:styleId="Ttulo7Car">
    <w:name w:val="Título 7 Car"/>
    <w:basedOn w:val="Fuentedeprrafopredeter"/>
    <w:link w:val="Ttulo7"/>
    <w:uiPriority w:val="99"/>
    <w:semiHidden/>
    <w:locked/>
    <w:rPr>
      <w:rFonts w:ascii="Calibri" w:hAnsi="Calibri" w:cs="Times New Roman"/>
      <w:i/>
      <w:sz w:val="24"/>
      <w:szCs w:val="24"/>
      <w:lang w:val="es-CO" w:eastAsia="ar-SA" w:bidi="ar-SA"/>
    </w:rPr>
  </w:style>
  <w:style w:type="character" w:customStyle="1" w:styleId="Ttulo8Car">
    <w:name w:val="Título 8 Car"/>
    <w:basedOn w:val="Fuentedeprrafopredeter"/>
    <w:link w:val="Ttulo8"/>
    <w:uiPriority w:val="99"/>
    <w:semiHidden/>
    <w:locked/>
    <w:rPr>
      <w:rFonts w:ascii="Calibri" w:hAnsi="Calibri" w:cs="Times New Roman"/>
      <w:iCs/>
      <w:sz w:val="24"/>
      <w:szCs w:val="24"/>
      <w:lang w:val="es-CO" w:eastAsia="ar-SA" w:bidi="ar-SA"/>
    </w:rPr>
  </w:style>
  <w:style w:type="character" w:customStyle="1" w:styleId="Ttulo9Car">
    <w:name w:val="Título 9 Car"/>
    <w:basedOn w:val="Fuentedeprrafopredeter"/>
    <w:link w:val="Ttulo9"/>
    <w:uiPriority w:val="99"/>
    <w:semiHidden/>
    <w:locked/>
    <w:rPr>
      <w:rFonts w:ascii="Cambria" w:hAnsi="Cambria" w:cs="Times New Roman"/>
      <w:i/>
      <w:lang w:val="es-CO" w:eastAsia="ar-SA" w:bidi="ar-SA"/>
    </w:rPr>
  </w:style>
  <w:style w:type="character" w:customStyle="1" w:styleId="Fuentedeprrafopredeter2">
    <w:name w:val="Fuente de párrafo predeter.2"/>
    <w:uiPriority w:val="99"/>
    <w:rsid w:val="00696F6D"/>
  </w:style>
  <w:style w:type="character" w:customStyle="1" w:styleId="Fuentedeprrafopredeter1">
    <w:name w:val="Fuente de párrafo predeter.1"/>
    <w:uiPriority w:val="99"/>
    <w:rsid w:val="00696F6D"/>
  </w:style>
  <w:style w:type="character" w:styleId="Hipervnculo">
    <w:name w:val="Hyperlink"/>
    <w:basedOn w:val="Fuentedeprrafopredeter1"/>
    <w:uiPriority w:val="99"/>
    <w:rsid w:val="00696F6D"/>
    <w:rPr>
      <w:rFonts w:cs="Times New Roman"/>
      <w:color w:val="0000FF"/>
      <w:u w:val="single"/>
    </w:rPr>
  </w:style>
  <w:style w:type="character" w:styleId="Hipervnculovisitado">
    <w:name w:val="FollowedHyperlink"/>
    <w:basedOn w:val="Fuentedeprrafopredeter1"/>
    <w:uiPriority w:val="99"/>
    <w:rsid w:val="00696F6D"/>
    <w:rPr>
      <w:rFonts w:cs="Times New Roman"/>
      <w:color w:val="800080"/>
      <w:u w:val="single"/>
    </w:rPr>
  </w:style>
  <w:style w:type="character" w:styleId="Nmerodepgina">
    <w:name w:val="page number"/>
    <w:basedOn w:val="Fuentedeprrafopredeter1"/>
    <w:uiPriority w:val="99"/>
    <w:rsid w:val="00696F6D"/>
    <w:rPr>
      <w:rFonts w:cs="Times New Roman"/>
    </w:rPr>
  </w:style>
  <w:style w:type="paragraph" w:customStyle="1" w:styleId="Encabezado2">
    <w:name w:val="Encabezado2"/>
    <w:basedOn w:val="Normal"/>
    <w:next w:val="Textoindependiente"/>
    <w:uiPriority w:val="99"/>
    <w:rsid w:val="00696F6D"/>
    <w:pPr>
      <w:keepNext/>
      <w:spacing w:before="240" w:after="120"/>
    </w:pPr>
    <w:rPr>
      <w:rFonts w:cs="Tahoma"/>
      <w:sz w:val="28"/>
      <w:szCs w:val="28"/>
    </w:rPr>
  </w:style>
  <w:style w:type="paragraph" w:styleId="Textoindependiente">
    <w:name w:val="Body Text"/>
    <w:basedOn w:val="Normal"/>
    <w:link w:val="TextoindependienteCar"/>
    <w:uiPriority w:val="99"/>
    <w:rsid w:val="00696F6D"/>
    <w:pPr>
      <w:jc w:val="both"/>
    </w:pPr>
    <w:rPr>
      <w:i w:val="0"/>
      <w:iCs/>
    </w:rPr>
  </w:style>
  <w:style w:type="character" w:customStyle="1" w:styleId="TextoindependienteCar">
    <w:name w:val="Texto independiente Car"/>
    <w:basedOn w:val="Fuentedeprrafopredeter"/>
    <w:link w:val="Textoindependiente"/>
    <w:uiPriority w:val="99"/>
    <w:semiHidden/>
    <w:locked/>
    <w:rPr>
      <w:rFonts w:ascii="Arial" w:hAnsi="Arial" w:cs="Arial"/>
      <w:i/>
      <w:sz w:val="24"/>
      <w:szCs w:val="24"/>
      <w:lang w:val="es-CO" w:eastAsia="ar-SA" w:bidi="ar-SA"/>
    </w:rPr>
  </w:style>
  <w:style w:type="paragraph" w:styleId="Lista">
    <w:name w:val="List"/>
    <w:basedOn w:val="Textoindependiente"/>
    <w:uiPriority w:val="99"/>
    <w:rsid w:val="00696F6D"/>
    <w:rPr>
      <w:rFonts w:cs="Tahoma"/>
    </w:rPr>
  </w:style>
  <w:style w:type="paragraph" w:customStyle="1" w:styleId="Etiqueta">
    <w:name w:val="Etiqueta"/>
    <w:basedOn w:val="Normal"/>
    <w:uiPriority w:val="99"/>
    <w:rsid w:val="00696F6D"/>
    <w:pPr>
      <w:suppressLineNumbers/>
      <w:spacing w:before="120" w:after="120"/>
    </w:pPr>
    <w:rPr>
      <w:rFonts w:cs="Tahoma"/>
      <w:iCs/>
    </w:rPr>
  </w:style>
  <w:style w:type="paragraph" w:customStyle="1" w:styleId="ndice">
    <w:name w:val="Índice"/>
    <w:basedOn w:val="Normal"/>
    <w:uiPriority w:val="99"/>
    <w:rsid w:val="00696F6D"/>
    <w:pPr>
      <w:suppressLineNumbers/>
    </w:pPr>
    <w:rPr>
      <w:rFonts w:cs="Tahoma"/>
    </w:rPr>
  </w:style>
  <w:style w:type="paragraph" w:customStyle="1" w:styleId="Encabezado1">
    <w:name w:val="Encabezado1"/>
    <w:basedOn w:val="Normal"/>
    <w:next w:val="Textoindependiente"/>
    <w:uiPriority w:val="99"/>
    <w:rsid w:val="00696F6D"/>
    <w:pPr>
      <w:keepNext/>
      <w:spacing w:before="240" w:after="120"/>
    </w:pPr>
    <w:rPr>
      <w:rFonts w:cs="Tahoma"/>
      <w:sz w:val="28"/>
      <w:szCs w:val="28"/>
    </w:rPr>
  </w:style>
  <w:style w:type="paragraph" w:styleId="Direccinsobre">
    <w:name w:val="envelope address"/>
    <w:basedOn w:val="Normal"/>
    <w:uiPriority w:val="99"/>
    <w:rsid w:val="00696F6D"/>
    <w:pPr>
      <w:ind w:left="2880"/>
    </w:pPr>
    <w:rPr>
      <w:rFonts w:ascii="Monotype Corsiva" w:hAnsi="Monotype Corsiva"/>
      <w:b/>
      <w:i w:val="0"/>
      <w:sz w:val="36"/>
    </w:rPr>
  </w:style>
  <w:style w:type="paragraph" w:customStyle="1" w:styleId="Textoindependiente21">
    <w:name w:val="Texto independiente 21"/>
    <w:basedOn w:val="Normal"/>
    <w:uiPriority w:val="99"/>
    <w:rsid w:val="00696F6D"/>
    <w:pPr>
      <w:jc w:val="both"/>
    </w:pPr>
    <w:rPr>
      <w:i w:val="0"/>
      <w:iCs/>
      <w:sz w:val="22"/>
    </w:rPr>
  </w:style>
  <w:style w:type="paragraph" w:styleId="Encabezado">
    <w:name w:val="header"/>
    <w:basedOn w:val="Normal"/>
    <w:link w:val="EncabezadoCar"/>
    <w:uiPriority w:val="99"/>
    <w:rsid w:val="00696F6D"/>
    <w:pPr>
      <w:tabs>
        <w:tab w:val="center" w:pos="4252"/>
        <w:tab w:val="right" w:pos="8504"/>
      </w:tabs>
    </w:pPr>
    <w:rPr>
      <w:rFonts w:cs="Times New Roman"/>
      <w:i w:val="0"/>
    </w:rPr>
  </w:style>
  <w:style w:type="character" w:customStyle="1" w:styleId="EncabezadoCar">
    <w:name w:val="Encabezado Car"/>
    <w:basedOn w:val="Fuentedeprrafopredeter"/>
    <w:link w:val="Encabezado"/>
    <w:uiPriority w:val="99"/>
    <w:locked/>
    <w:rPr>
      <w:rFonts w:ascii="Arial" w:hAnsi="Arial" w:cs="Arial"/>
      <w:i/>
      <w:sz w:val="24"/>
      <w:szCs w:val="24"/>
      <w:lang w:val="es-CO" w:eastAsia="ar-SA" w:bidi="ar-SA"/>
    </w:rPr>
  </w:style>
  <w:style w:type="paragraph" w:styleId="Piedepgina">
    <w:name w:val="footer"/>
    <w:basedOn w:val="Normal"/>
    <w:link w:val="PiedepginaCar"/>
    <w:rsid w:val="00696F6D"/>
    <w:pPr>
      <w:tabs>
        <w:tab w:val="center" w:pos="4419"/>
        <w:tab w:val="right" w:pos="8838"/>
      </w:tabs>
    </w:pPr>
  </w:style>
  <w:style w:type="character" w:customStyle="1" w:styleId="PiedepginaCar">
    <w:name w:val="Pie de página Car"/>
    <w:basedOn w:val="Fuentedeprrafopredeter"/>
    <w:link w:val="Piedepgina"/>
    <w:locked/>
    <w:rsid w:val="0009535C"/>
    <w:rPr>
      <w:rFonts w:ascii="Arial" w:hAnsi="Arial" w:cs="Arial"/>
      <w:i/>
      <w:sz w:val="24"/>
      <w:szCs w:val="24"/>
      <w:lang w:eastAsia="ar-SA" w:bidi="ar-SA"/>
    </w:rPr>
  </w:style>
  <w:style w:type="paragraph" w:styleId="Ttulo">
    <w:name w:val="Title"/>
    <w:basedOn w:val="Normal"/>
    <w:next w:val="Subttulo"/>
    <w:link w:val="TtuloCar"/>
    <w:uiPriority w:val="99"/>
    <w:qFormat/>
    <w:rsid w:val="00696F6D"/>
    <w:pPr>
      <w:jc w:val="center"/>
    </w:pPr>
    <w:rPr>
      <w:b/>
      <w:bCs/>
      <w:i w:val="0"/>
    </w:rPr>
  </w:style>
  <w:style w:type="character" w:customStyle="1" w:styleId="TtuloCar">
    <w:name w:val="Título Car"/>
    <w:basedOn w:val="Fuentedeprrafopredeter"/>
    <w:link w:val="Ttulo"/>
    <w:uiPriority w:val="99"/>
    <w:locked/>
    <w:rPr>
      <w:rFonts w:ascii="Cambria" w:hAnsi="Cambria" w:cs="Times New Roman"/>
      <w:b/>
      <w:bCs/>
      <w:i/>
      <w:kern w:val="28"/>
      <w:sz w:val="32"/>
      <w:szCs w:val="32"/>
      <w:lang w:val="es-CO" w:eastAsia="ar-SA" w:bidi="ar-SA"/>
    </w:rPr>
  </w:style>
  <w:style w:type="paragraph" w:styleId="Subttulo">
    <w:name w:val="Subtitle"/>
    <w:basedOn w:val="Normal"/>
    <w:next w:val="Textoindependiente"/>
    <w:link w:val="SubttuloCar"/>
    <w:qFormat/>
    <w:rsid w:val="00696F6D"/>
    <w:pPr>
      <w:jc w:val="center"/>
    </w:pPr>
    <w:rPr>
      <w:rFonts w:ascii="Comic Sans MS" w:hAnsi="Comic Sans MS" w:cs="Times New Roman"/>
      <w:b/>
      <w:i w:val="0"/>
      <w:szCs w:val="20"/>
      <w:lang w:val="en-US"/>
    </w:rPr>
  </w:style>
  <w:style w:type="character" w:customStyle="1" w:styleId="SubttuloCar">
    <w:name w:val="Subtítulo Car"/>
    <w:basedOn w:val="Fuentedeprrafopredeter"/>
    <w:link w:val="Subttulo"/>
    <w:locked/>
    <w:rPr>
      <w:rFonts w:ascii="Cambria" w:hAnsi="Cambria" w:cs="Times New Roman"/>
      <w:i/>
      <w:sz w:val="24"/>
      <w:szCs w:val="24"/>
      <w:lang w:val="es-CO" w:eastAsia="ar-SA" w:bidi="ar-SA"/>
    </w:rPr>
  </w:style>
  <w:style w:type="paragraph" w:styleId="Sangradetextonormal">
    <w:name w:val="Body Text Indent"/>
    <w:basedOn w:val="Normal"/>
    <w:link w:val="SangradetextonormalCar"/>
    <w:uiPriority w:val="99"/>
    <w:rsid w:val="00696F6D"/>
    <w:pPr>
      <w:ind w:left="720"/>
      <w:jc w:val="both"/>
    </w:pPr>
    <w:rPr>
      <w:i w:val="0"/>
      <w:iCs/>
    </w:rPr>
  </w:style>
  <w:style w:type="character" w:customStyle="1" w:styleId="SangradetextonormalCar">
    <w:name w:val="Sangría de texto normal Car"/>
    <w:basedOn w:val="Fuentedeprrafopredeter"/>
    <w:link w:val="Sangradetextonormal"/>
    <w:uiPriority w:val="99"/>
    <w:semiHidden/>
    <w:locked/>
    <w:rPr>
      <w:rFonts w:ascii="Arial" w:hAnsi="Arial" w:cs="Arial"/>
      <w:i/>
      <w:sz w:val="24"/>
      <w:szCs w:val="24"/>
      <w:lang w:val="es-CO" w:eastAsia="ar-SA" w:bidi="ar-SA"/>
    </w:rPr>
  </w:style>
  <w:style w:type="paragraph" w:customStyle="1" w:styleId="Sangra2detindependiente1">
    <w:name w:val="Sangría 2 de t. independiente1"/>
    <w:basedOn w:val="Normal"/>
    <w:uiPriority w:val="99"/>
    <w:rsid w:val="00696F6D"/>
    <w:pPr>
      <w:ind w:left="2124" w:firstLine="708"/>
      <w:jc w:val="right"/>
    </w:pPr>
    <w:rPr>
      <w:i w:val="0"/>
    </w:rPr>
  </w:style>
  <w:style w:type="paragraph" w:customStyle="1" w:styleId="Sangra3detindependiente1">
    <w:name w:val="Sangría 3 de t. independiente1"/>
    <w:basedOn w:val="Normal"/>
    <w:uiPriority w:val="99"/>
    <w:rsid w:val="00696F6D"/>
    <w:pPr>
      <w:ind w:left="60"/>
      <w:jc w:val="both"/>
    </w:pPr>
    <w:rPr>
      <w:i w:val="0"/>
      <w:iCs/>
      <w:sz w:val="22"/>
    </w:rPr>
  </w:style>
  <w:style w:type="paragraph" w:customStyle="1" w:styleId="Textoindependiente31">
    <w:name w:val="Texto independiente 31"/>
    <w:basedOn w:val="Normal"/>
    <w:uiPriority w:val="99"/>
    <w:rsid w:val="00696F6D"/>
    <w:pPr>
      <w:jc w:val="both"/>
    </w:pPr>
    <w:rPr>
      <w:sz w:val="22"/>
    </w:rPr>
  </w:style>
  <w:style w:type="paragraph" w:customStyle="1" w:styleId="Saludo1">
    <w:name w:val="Saludo1"/>
    <w:basedOn w:val="Normal"/>
    <w:next w:val="Normal"/>
    <w:uiPriority w:val="99"/>
    <w:rsid w:val="00696F6D"/>
    <w:rPr>
      <w:rFonts w:cs="Times New Roman"/>
      <w:i w:val="0"/>
      <w:sz w:val="20"/>
      <w:szCs w:val="20"/>
      <w:lang w:val="es-ES"/>
    </w:rPr>
  </w:style>
  <w:style w:type="paragraph" w:customStyle="1" w:styleId="xl24">
    <w:name w:val="xl24"/>
    <w:basedOn w:val="Normal"/>
    <w:uiPriority w:val="99"/>
    <w:rsid w:val="00696F6D"/>
    <w:pPr>
      <w:pBdr>
        <w:top w:val="single" w:sz="8" w:space="0" w:color="000000"/>
        <w:left w:val="single" w:sz="8" w:space="0" w:color="000000"/>
      </w:pBdr>
      <w:spacing w:before="280" w:after="280"/>
      <w:jc w:val="center"/>
      <w:textAlignment w:val="top"/>
    </w:pPr>
    <w:rPr>
      <w:b/>
      <w:bCs/>
      <w:i w:val="0"/>
      <w:sz w:val="22"/>
      <w:szCs w:val="22"/>
      <w:lang w:val="es-ES"/>
    </w:rPr>
  </w:style>
  <w:style w:type="paragraph" w:customStyle="1" w:styleId="xl25">
    <w:name w:val="xl25"/>
    <w:basedOn w:val="Normal"/>
    <w:uiPriority w:val="99"/>
    <w:rsid w:val="00696F6D"/>
    <w:pPr>
      <w:pBdr>
        <w:top w:val="single" w:sz="8" w:space="0" w:color="000000"/>
      </w:pBdr>
      <w:spacing w:before="280" w:after="280"/>
      <w:jc w:val="center"/>
      <w:textAlignment w:val="top"/>
    </w:pPr>
    <w:rPr>
      <w:b/>
      <w:bCs/>
      <w:i w:val="0"/>
      <w:sz w:val="22"/>
      <w:szCs w:val="22"/>
      <w:lang w:val="es-ES"/>
    </w:rPr>
  </w:style>
  <w:style w:type="paragraph" w:customStyle="1" w:styleId="xl26">
    <w:name w:val="xl26"/>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7">
    <w:name w:val="xl27"/>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8">
    <w:name w:val="xl28"/>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9">
    <w:name w:val="xl29"/>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0">
    <w:name w:val="xl30"/>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1">
    <w:name w:val="xl31"/>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2">
    <w:name w:val="xl32"/>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3">
    <w:name w:val="xl33"/>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4">
    <w:name w:val="xl34"/>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5">
    <w:name w:val="xl35"/>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center"/>
      <w:textAlignment w:val="top"/>
    </w:pPr>
    <w:rPr>
      <w:b/>
      <w:bCs/>
      <w:i w:val="0"/>
      <w:sz w:val="22"/>
      <w:szCs w:val="22"/>
      <w:lang w:val="es-ES"/>
    </w:rPr>
  </w:style>
  <w:style w:type="paragraph" w:styleId="NormalWeb">
    <w:name w:val="Normal (Web)"/>
    <w:basedOn w:val="Normal"/>
    <w:uiPriority w:val="99"/>
    <w:rsid w:val="00696F6D"/>
    <w:pPr>
      <w:spacing w:before="280" w:after="280"/>
    </w:pPr>
    <w:rPr>
      <w:rFonts w:ascii="Arial Unicode MS" w:hAnsi="Arial Unicode MS" w:cs="Arial Unicode MS"/>
      <w:i w:val="0"/>
      <w:lang w:val="es-ES"/>
    </w:rPr>
  </w:style>
  <w:style w:type="paragraph" w:customStyle="1" w:styleId="Textodebloque1">
    <w:name w:val="Texto de bloque1"/>
    <w:basedOn w:val="Normal"/>
    <w:uiPriority w:val="99"/>
    <w:rsid w:val="00696F6D"/>
    <w:pPr>
      <w:widowControl w:val="0"/>
      <w:ind w:left="120" w:right="-160"/>
      <w:jc w:val="both"/>
    </w:pPr>
    <w:rPr>
      <w:bCs/>
      <w:i w:val="0"/>
      <w:sz w:val="22"/>
    </w:rPr>
  </w:style>
  <w:style w:type="paragraph" w:customStyle="1" w:styleId="Contenidodelmarco">
    <w:name w:val="Contenido del marco"/>
    <w:basedOn w:val="Textoindependiente"/>
    <w:uiPriority w:val="99"/>
    <w:rsid w:val="00696F6D"/>
  </w:style>
  <w:style w:type="paragraph" w:styleId="Textoindependiente2">
    <w:name w:val="Body Text 2"/>
    <w:basedOn w:val="Normal"/>
    <w:link w:val="Textoindependiente2Car"/>
    <w:uiPriority w:val="99"/>
    <w:rsid w:val="00696F6D"/>
    <w:pPr>
      <w:spacing w:after="120" w:line="480" w:lineRule="auto"/>
    </w:pPr>
  </w:style>
  <w:style w:type="character" w:customStyle="1" w:styleId="Textoindependiente2Car">
    <w:name w:val="Texto independiente 2 Car"/>
    <w:basedOn w:val="Fuentedeprrafopredeter"/>
    <w:link w:val="Textoindependiente2"/>
    <w:uiPriority w:val="99"/>
    <w:semiHidden/>
    <w:locked/>
    <w:rPr>
      <w:rFonts w:ascii="Arial" w:hAnsi="Arial" w:cs="Arial"/>
      <w:i/>
      <w:sz w:val="24"/>
      <w:szCs w:val="24"/>
      <w:lang w:val="es-CO" w:eastAsia="ar-SA" w:bidi="ar-SA"/>
    </w:rPr>
  </w:style>
  <w:style w:type="character" w:styleId="Refdecomentario">
    <w:name w:val="annotation reference"/>
    <w:basedOn w:val="Fuentedeprrafopredeter"/>
    <w:uiPriority w:val="99"/>
    <w:semiHidden/>
    <w:rsid w:val="00696F6D"/>
    <w:rPr>
      <w:rFonts w:cs="Times New Roman"/>
      <w:sz w:val="16"/>
      <w:szCs w:val="16"/>
    </w:rPr>
  </w:style>
  <w:style w:type="paragraph" w:styleId="Textocomentario">
    <w:name w:val="annotation text"/>
    <w:basedOn w:val="Normal"/>
    <w:link w:val="TextocomentarioCar"/>
    <w:uiPriority w:val="99"/>
    <w:semiHidden/>
    <w:rsid w:val="00696F6D"/>
    <w:rPr>
      <w:sz w:val="20"/>
      <w:szCs w:val="20"/>
    </w:rPr>
  </w:style>
  <w:style w:type="character" w:customStyle="1" w:styleId="TextocomentarioCar">
    <w:name w:val="Texto comentario Car"/>
    <w:basedOn w:val="Fuentedeprrafopredeter"/>
    <w:link w:val="Textocomentario"/>
    <w:uiPriority w:val="99"/>
    <w:semiHidden/>
    <w:locked/>
    <w:rPr>
      <w:rFonts w:ascii="Arial" w:hAnsi="Arial" w:cs="Arial"/>
      <w:i/>
      <w:sz w:val="20"/>
      <w:szCs w:val="20"/>
      <w:lang w:val="es-CO" w:eastAsia="ar-SA" w:bidi="ar-SA"/>
    </w:rPr>
  </w:style>
  <w:style w:type="paragraph" w:customStyle="1" w:styleId="CommentSubject1">
    <w:name w:val="Comment Subject1"/>
    <w:basedOn w:val="Textocomentario"/>
    <w:next w:val="Textocomentario"/>
    <w:uiPriority w:val="99"/>
    <w:semiHidden/>
    <w:rsid w:val="00696F6D"/>
    <w:rPr>
      <w:b/>
      <w:bCs/>
    </w:rPr>
  </w:style>
  <w:style w:type="paragraph" w:customStyle="1" w:styleId="Textodeglobo1">
    <w:name w:val="Texto de globo1"/>
    <w:basedOn w:val="Normal"/>
    <w:uiPriority w:val="99"/>
    <w:semiHidden/>
    <w:rsid w:val="00696F6D"/>
    <w:rPr>
      <w:rFonts w:ascii="Tahoma" w:hAnsi="Tahoma" w:cs="Tahoma"/>
      <w:sz w:val="16"/>
      <w:szCs w:val="16"/>
    </w:rPr>
  </w:style>
  <w:style w:type="paragraph" w:customStyle="1" w:styleId="Estilo">
    <w:name w:val="Estilo"/>
    <w:basedOn w:val="Normal"/>
    <w:uiPriority w:val="99"/>
    <w:rsid w:val="00696F6D"/>
    <w:pPr>
      <w:suppressAutoHyphens w:val="0"/>
      <w:spacing w:after="160" w:line="240" w:lineRule="exact"/>
    </w:pPr>
    <w:rPr>
      <w:rFonts w:ascii="Verdana" w:hAnsi="Verdana" w:cs="Times New Roman"/>
      <w:i w:val="0"/>
      <w:sz w:val="20"/>
      <w:szCs w:val="20"/>
      <w:lang w:val="en-US" w:eastAsia="en-US"/>
    </w:rPr>
  </w:style>
  <w:style w:type="paragraph" w:styleId="Textodeglobo">
    <w:name w:val="Balloon Text"/>
    <w:basedOn w:val="Normal"/>
    <w:link w:val="TextodegloboCar"/>
    <w:uiPriority w:val="99"/>
    <w:rsid w:val="007428BE"/>
    <w:rPr>
      <w:rFonts w:ascii="Tahoma" w:hAnsi="Tahoma" w:cs="Tahoma"/>
      <w:sz w:val="16"/>
      <w:szCs w:val="16"/>
    </w:rPr>
  </w:style>
  <w:style w:type="character" w:customStyle="1" w:styleId="TextodegloboCar">
    <w:name w:val="Texto de globo Car"/>
    <w:basedOn w:val="Fuentedeprrafopredeter"/>
    <w:link w:val="Textodeglobo"/>
    <w:uiPriority w:val="99"/>
    <w:locked/>
    <w:rsid w:val="007428BE"/>
    <w:rPr>
      <w:rFonts w:ascii="Tahoma" w:hAnsi="Tahoma" w:cs="Tahoma"/>
      <w:i/>
      <w:sz w:val="16"/>
      <w:szCs w:val="16"/>
      <w:lang w:val="es-CO" w:eastAsia="ar-SA" w:bidi="ar-SA"/>
    </w:rPr>
  </w:style>
  <w:style w:type="table" w:styleId="Tablaconcuadrcula">
    <w:name w:val="Table Grid"/>
    <w:basedOn w:val="Tablanormal"/>
    <w:uiPriority w:val="99"/>
    <w:rsid w:val="003D61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locked/>
    <w:rsid w:val="00B868AF"/>
    <w:rPr>
      <w:b/>
      <w:bCs/>
    </w:rPr>
  </w:style>
  <w:style w:type="paragraph" w:styleId="Prrafodelista">
    <w:name w:val="List Paragraph"/>
    <w:basedOn w:val="Normal"/>
    <w:uiPriority w:val="34"/>
    <w:qFormat/>
    <w:rsid w:val="000F2D06"/>
    <w:pPr>
      <w:ind w:left="720"/>
      <w:contextualSpacing/>
    </w:pPr>
  </w:style>
  <w:style w:type="paragraph" w:styleId="Sinespaciado">
    <w:name w:val="No Spacing"/>
    <w:uiPriority w:val="1"/>
    <w:qFormat/>
    <w:rsid w:val="004B736C"/>
    <w:pPr>
      <w:suppressAutoHyphens/>
    </w:pPr>
    <w:rPr>
      <w:rFonts w:ascii="Arial" w:hAnsi="Arial" w:cs="Arial"/>
      <w:i/>
      <w:sz w:val="24"/>
      <w:szCs w:val="24"/>
      <w:lang w:val="es-CO" w:eastAsia="ar-SA"/>
    </w:rPr>
  </w:style>
  <w:style w:type="paragraph" w:styleId="Asuntodelcomentario">
    <w:name w:val="annotation subject"/>
    <w:basedOn w:val="Textocomentario"/>
    <w:next w:val="Textocomentario"/>
    <w:link w:val="AsuntodelcomentarioCar"/>
    <w:uiPriority w:val="99"/>
    <w:semiHidden/>
    <w:unhideWhenUsed/>
    <w:rsid w:val="00E04C99"/>
    <w:rPr>
      <w:b/>
      <w:bCs/>
    </w:rPr>
  </w:style>
  <w:style w:type="character" w:customStyle="1" w:styleId="AsuntodelcomentarioCar">
    <w:name w:val="Asunto del comentario Car"/>
    <w:basedOn w:val="TextocomentarioCar"/>
    <w:link w:val="Asuntodelcomentario"/>
    <w:uiPriority w:val="99"/>
    <w:semiHidden/>
    <w:rsid w:val="00E04C99"/>
    <w:rPr>
      <w:rFonts w:ascii="Arial" w:hAnsi="Arial" w:cs="Arial"/>
      <w:b/>
      <w:bCs/>
      <w:i/>
      <w:sz w:val="20"/>
      <w:szCs w:val="20"/>
      <w:lang w:val="es-CO"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468319">
      <w:marLeft w:val="0"/>
      <w:marRight w:val="0"/>
      <w:marTop w:val="0"/>
      <w:marBottom w:val="0"/>
      <w:divBdr>
        <w:top w:val="none" w:sz="0" w:space="0" w:color="auto"/>
        <w:left w:val="none" w:sz="0" w:space="0" w:color="auto"/>
        <w:bottom w:val="none" w:sz="0" w:space="0" w:color="auto"/>
        <w:right w:val="none" w:sz="0" w:space="0" w:color="auto"/>
      </w:divBdr>
    </w:div>
    <w:div w:id="1574468320">
      <w:marLeft w:val="0"/>
      <w:marRight w:val="0"/>
      <w:marTop w:val="0"/>
      <w:marBottom w:val="0"/>
      <w:divBdr>
        <w:top w:val="none" w:sz="0" w:space="0" w:color="auto"/>
        <w:left w:val="none" w:sz="0" w:space="0" w:color="auto"/>
        <w:bottom w:val="none" w:sz="0" w:space="0" w:color="auto"/>
        <w:right w:val="none" w:sz="0" w:space="0" w:color="auto"/>
      </w:divBdr>
    </w:div>
    <w:div w:id="19499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B51B-BDC3-461E-AD78-0F3DD37B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1869</Words>
  <Characters>10281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TH</vt:lpstr>
    </vt:vector>
  </TitlesOfParts>
  <Company>Supersolidaria</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dc:title>
  <dc:creator>SES</dc:creator>
  <cp:lastModifiedBy>Laura Sofia Prada Cardoso</cp:lastModifiedBy>
  <cp:revision>11</cp:revision>
  <cp:lastPrinted>2007-11-17T22:44:00Z</cp:lastPrinted>
  <dcterms:created xsi:type="dcterms:W3CDTF">2026-04-10T03:01:00Z</dcterms:created>
  <dcterms:modified xsi:type="dcterms:W3CDTF">2026-04-15T16:34:00Z</dcterms:modified>
</cp:coreProperties>
</file>