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2" w:rsidRDefault="00295012" w:rsidP="00FF1E11">
      <w:pPr>
        <w:pStyle w:val="Encabezado"/>
        <w:tabs>
          <w:tab w:val="clear" w:pos="4252"/>
          <w:tab w:val="clear" w:pos="8504"/>
        </w:tabs>
        <w:rPr>
          <w:rFonts w:ascii="Arial" w:hAnsi="Arial" w:cs="Arial"/>
          <w:bCs/>
          <w:i/>
          <w:iCs/>
          <w:sz w:val="22"/>
          <w:szCs w:val="22"/>
          <w:lang w:val="es-ES_tradnl"/>
        </w:rPr>
      </w:pPr>
      <w:bookmarkStart w:id="0" w:name="_GoBack"/>
      <w:bookmarkEnd w:id="0"/>
    </w:p>
    <w:p w:rsidR="00FF1E11" w:rsidRDefault="00D62C63" w:rsidP="00FF1E11">
      <w:pPr>
        <w:pStyle w:val="Encabezado"/>
        <w:tabs>
          <w:tab w:val="clear" w:pos="4252"/>
          <w:tab w:val="clear" w:pos="8504"/>
        </w:tabs>
        <w:rPr>
          <w:rFonts w:ascii="Arial" w:hAnsi="Arial" w:cs="Arial"/>
          <w:sz w:val="22"/>
          <w:szCs w:val="22"/>
        </w:rPr>
      </w:pPr>
      <w:r>
        <w:rPr>
          <w:rFonts w:ascii="Arial" w:hAnsi="Arial" w:cs="Arial"/>
          <w:noProof/>
          <w:sz w:val="22"/>
          <w:szCs w:val="22"/>
          <w:lang w:val="es-CO" w:eastAsia="es-CO"/>
        </w:rPr>
        <mc:AlternateContent>
          <mc:Choice Requires="wps">
            <w:drawing>
              <wp:anchor distT="0" distB="0" distL="114300" distR="114300" simplePos="0" relativeHeight="251657216" behindDoc="0" locked="0" layoutInCell="1" allowOverlap="1">
                <wp:simplePos x="0" y="0"/>
                <wp:positionH relativeFrom="column">
                  <wp:posOffset>3104515</wp:posOffset>
                </wp:positionH>
                <wp:positionV relativeFrom="paragraph">
                  <wp:posOffset>47625</wp:posOffset>
                </wp:positionV>
                <wp:extent cx="2705100" cy="914400"/>
                <wp:effectExtent l="8890" t="9525" r="10160" b="952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91440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244.45pt;margin-top:3.75pt;width:213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" strokeweight=".26mm">
                <v:stroke joinstyle="miter"/>
              </v:roundrect>
            </w:pict>
          </mc:Fallback>
        </mc:AlternateContent>
      </w:r>
      <w:r>
        <w:rPr>
          <w:rFonts w:ascii="Arial" w:hAnsi="Arial" w:cs="Arial"/>
          <w:noProof/>
          <w:sz w:val="22"/>
          <w:szCs w:val="22"/>
          <w:lang w:val="es-CO" w:eastAsia="es-CO"/>
        </w:rPr>
        <mc:AlternateContent>
          <mc:Choice Requires="wps">
            <w:drawing>
              <wp:anchor distT="0" distB="0" distL="114935" distR="114935" simplePos="0" relativeHeight="251658240" behindDoc="0" locked="0" layoutInCell="1" allowOverlap="1">
                <wp:simplePos x="0" y="0"/>
                <wp:positionH relativeFrom="column">
                  <wp:posOffset>3204845</wp:posOffset>
                </wp:positionH>
                <wp:positionV relativeFrom="paragraph">
                  <wp:posOffset>47625</wp:posOffset>
                </wp:positionV>
                <wp:extent cx="2510155" cy="914400"/>
                <wp:effectExtent l="4445"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E11" w:rsidRDefault="00FF1E11" w:rsidP="00FF1E11">
                            <w:pPr>
                              <w:tabs>
                                <w:tab w:val="left" w:pos="1485"/>
                              </w:tabs>
                              <w:snapToGrid w:val="0"/>
                              <w:spacing w:line="360" w:lineRule="auto"/>
                              <w:rPr>
                                <w:rFonts w:ascii="Arial" w:hAnsi="Arial" w:cs="Arial"/>
                                <w:b/>
                                <w:bCs/>
                                <w:sz w:val="18"/>
                                <w:szCs w:val="20"/>
                              </w:rPr>
                            </w:pPr>
                            <w:r>
                              <w:rPr>
                                <w:rFonts w:ascii="Arial" w:hAnsi="Arial" w:cs="Arial"/>
                                <w:b/>
                                <w:bCs/>
                                <w:sz w:val="18"/>
                                <w:szCs w:val="20"/>
                              </w:rPr>
                              <w:t>Al contestar por favor cite estos datos:</w:t>
                            </w:r>
                          </w:p>
                          <w:p w:rsidR="00FF1E11" w:rsidRDefault="00FF1E11" w:rsidP="00FF1E11">
                            <w:pPr>
                              <w:tabs>
                                <w:tab w:val="left" w:pos="1485"/>
                              </w:tabs>
                              <w:snapToGrid w:val="0"/>
                              <w:rPr>
                                <w:rFonts w:ascii="Arial" w:hAnsi="Arial" w:cs="Arial"/>
                                <w:sz w:val="18"/>
                                <w:szCs w:val="22"/>
                                <w:lang w:val="es-MX"/>
                              </w:rPr>
                            </w:pPr>
                            <w:r>
                              <w:rPr>
                                <w:rFonts w:ascii="Arial" w:hAnsi="Arial" w:cs="Arial"/>
                                <w:sz w:val="18"/>
                                <w:szCs w:val="22"/>
                                <w:lang w:val="es-MX"/>
                              </w:rPr>
                              <w:t>Fecha de Radicado: 03-09-2014</w:t>
                            </w:r>
                          </w:p>
                          <w:p w:rsidR="00FF1E11" w:rsidRDefault="00FF1E11" w:rsidP="00FF1E11">
                            <w:pPr>
                              <w:tabs>
                                <w:tab w:val="left" w:pos="1485"/>
                              </w:tabs>
                              <w:snapToGrid w:val="0"/>
                              <w:rPr>
                                <w:sz w:val="18"/>
                                <w:szCs w:val="22"/>
                                <w:lang w:val="es-MX"/>
                              </w:rPr>
                            </w:pPr>
                            <w:r>
                              <w:rPr>
                                <w:rFonts w:ascii="Arial" w:hAnsi="Arial" w:cs="Arial"/>
                                <w:sz w:val="18"/>
                                <w:szCs w:val="22"/>
                                <w:lang w:val="es-MX"/>
                              </w:rPr>
                              <w:t>No. de Radicado:20141120245711</w:t>
                            </w:r>
                          </w:p>
                          <w:p w:rsidR="00FF1E11" w:rsidRPr="003651E4" w:rsidRDefault="000C53D2" w:rsidP="00FF1E11">
                            <w:pPr>
                              <w:tabs>
                                <w:tab w:val="left" w:pos="1485"/>
                              </w:tabs>
                              <w:snapToGrid w:val="0"/>
                              <w:rPr>
                                <w:rFonts w:ascii="Code3of9" w:hAnsi="Code3of9" w:cs="Tahoma"/>
                                <w:bCs/>
                                <w:sz w:val="36"/>
                                <w:szCs w:val="36"/>
                                <w:lang w:val="es-MX"/>
                              </w:rPr>
                            </w:pPr>
                            <w:r w:rsidRPr="003651E4">
                              <w:rPr>
                                <w:rFonts w:ascii="Code3of9" w:hAnsi="Code3of9" w:cs="Tahoma"/>
                                <w:bCs/>
                                <w:sz w:val="36"/>
                                <w:szCs w:val="36"/>
                                <w:lang w:val="es-MX"/>
                              </w:rPr>
                              <w:t>*20141120245711*</w:t>
                            </w:r>
                          </w:p>
                          <w:p w:rsidR="00FF1E11" w:rsidRDefault="00FF1E11" w:rsidP="00FF1E11">
                            <w:pPr>
                              <w:tabs>
                                <w:tab w:val="left" w:pos="1485"/>
                              </w:tabs>
                              <w:snapToGrid w:val="0"/>
                              <w:rPr>
                                <w:rFonts w:cs="Tahoma"/>
                                <w:b/>
                                <w:bCs/>
                                <w:sz w:val="18"/>
                                <w:szCs w:val="20"/>
                              </w:rPr>
                            </w:pPr>
                          </w:p>
                          <w:p w:rsidR="00FF1E11" w:rsidRDefault="00FF1E11" w:rsidP="00FF1E1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52.35pt;margin-top:3.75pt;width:197.65pt;height:1in;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" stroked="f">
                <v:fill opacity="0"/>
                <v:textbox inset="0,0,0,0">
                  <w:txbxContent>
                    <w:p w:rsidR="00FF1E11" w:rsidRDefault="00FF1E11" w:rsidP="00FF1E11">
                      <w:pPr>
                        <w:tabs>
                          <w:tab w:val="left" w:pos="1485"/>
                        </w:tabs>
                        <w:snapToGrid w:val="0"/>
                        <w:spacing w:line="360" w:lineRule="auto"/>
                        <w:rPr>
                          <w:rFonts w:ascii="Arial" w:hAnsi="Arial" w:cs="Arial"/>
                          <w:b/>
                          <w:bCs/>
                          <w:sz w:val="18"/>
                          <w:szCs w:val="20"/>
                        </w:rPr>
                      </w:pPr>
                      <w:r>
                        <w:rPr>
                          <w:rFonts w:ascii="Arial" w:hAnsi="Arial" w:cs="Arial"/>
                          <w:b/>
                          <w:bCs/>
                          <w:sz w:val="18"/>
                          <w:szCs w:val="20"/>
                        </w:rPr>
                        <w:t>Al contestar por favor cite estos datos:</w:t>
                      </w:r>
                    </w:p>
                    <w:p w:rsidR="00FF1E11" w:rsidRDefault="00FF1E11" w:rsidP="00FF1E11">
                      <w:pPr>
                        <w:tabs>
                          <w:tab w:val="left" w:pos="1485"/>
                        </w:tabs>
                        <w:snapToGrid w:val="0"/>
                        <w:rPr>
                          <w:rFonts w:ascii="Arial" w:hAnsi="Arial" w:cs="Arial"/>
                          <w:sz w:val="18"/>
                          <w:szCs w:val="22"/>
                          <w:lang w:val="es-MX"/>
                        </w:rPr>
                      </w:pPr>
                      <w:r>
                        <w:rPr>
                          <w:rFonts w:ascii="Arial" w:hAnsi="Arial" w:cs="Arial"/>
                          <w:sz w:val="18"/>
                          <w:szCs w:val="22"/>
                          <w:lang w:val="es-MX"/>
                        </w:rPr>
                        <w:t>Fecha de Radicado: 03-09-2014</w:t>
                      </w:r>
                    </w:p>
                    <w:p w:rsidR="00FF1E11" w:rsidRDefault="00FF1E11" w:rsidP="00FF1E11">
                      <w:pPr>
                        <w:tabs>
                          <w:tab w:val="left" w:pos="1485"/>
                        </w:tabs>
                        <w:snapToGrid w:val="0"/>
                        <w:rPr>
                          <w:sz w:val="18"/>
                          <w:szCs w:val="22"/>
                          <w:lang w:val="es-MX"/>
                        </w:rPr>
                      </w:pPr>
                      <w:r>
                        <w:rPr>
                          <w:rFonts w:ascii="Arial" w:hAnsi="Arial" w:cs="Arial"/>
                          <w:sz w:val="18"/>
                          <w:szCs w:val="22"/>
                          <w:lang w:val="es-MX"/>
                        </w:rPr>
                        <w:t>No. de Radicado:20141120245711</w:t>
                      </w:r>
                    </w:p>
                    <w:p w:rsidR="00FF1E11" w:rsidRPr="003651E4" w:rsidRDefault="000C53D2" w:rsidP="00FF1E11">
                      <w:pPr>
                        <w:tabs>
                          <w:tab w:val="left" w:pos="1485"/>
                        </w:tabs>
                        <w:snapToGrid w:val="0"/>
                        <w:rPr>
                          <w:rFonts w:ascii="Code3of9" w:hAnsi="Code3of9" w:cs="Tahoma"/>
                          <w:bCs/>
                          <w:sz w:val="36"/>
                          <w:szCs w:val="36"/>
                          <w:lang w:val="es-MX"/>
                        </w:rPr>
                      </w:pPr>
                      <w:r w:rsidRPr="003651E4">
                        <w:rPr>
                          <w:rFonts w:ascii="Code3of9" w:hAnsi="Code3of9" w:cs="Tahoma"/>
                          <w:bCs/>
                          <w:sz w:val="36"/>
                          <w:szCs w:val="36"/>
                          <w:lang w:val="es-MX"/>
                        </w:rPr>
                        <w:t>*20141120245711*</w:t>
                      </w:r>
                    </w:p>
                    <w:p w:rsidR="00FF1E11" w:rsidRDefault="00FF1E11" w:rsidP="00FF1E11">
                      <w:pPr>
                        <w:tabs>
                          <w:tab w:val="left" w:pos="1485"/>
                        </w:tabs>
                        <w:snapToGrid w:val="0"/>
                        <w:rPr>
                          <w:rFonts w:cs="Tahoma"/>
                          <w:b/>
                          <w:bCs/>
                          <w:sz w:val="18"/>
                          <w:szCs w:val="20"/>
                        </w:rPr>
                      </w:pPr>
                    </w:p>
                    <w:p w:rsidR="00FF1E11" w:rsidRDefault="00FF1E11" w:rsidP="00FF1E11">
                      <w:pPr>
                        <w:rPr>
                          <w:sz w:val="18"/>
                        </w:rPr>
                      </w:pPr>
                    </w:p>
                  </w:txbxContent>
                </v:textbox>
              </v:shape>
            </w:pict>
          </mc:Fallback>
        </mc:AlternateContent>
      </w:r>
      <w:r w:rsidR="00FF1E11">
        <w:rPr>
          <w:rFonts w:ascii="Arial" w:hAnsi="Arial" w:cs="Arial"/>
          <w:bCs/>
          <w:i/>
          <w:iCs/>
          <w:sz w:val="22"/>
          <w:szCs w:val="22"/>
          <w:lang w:val="es-ES_tradnl"/>
        </w:rPr>
        <w:t xml:space="preserve">112  </w:t>
      </w:r>
    </w:p>
    <w:p w:rsidR="00FF1E11" w:rsidRDefault="00FF1E11" w:rsidP="00FF1E11">
      <w:pPr>
        <w:rPr>
          <w:rFonts w:ascii="Arial" w:hAnsi="Arial" w:cs="Arial"/>
          <w:sz w:val="22"/>
          <w:szCs w:val="22"/>
        </w:rPr>
      </w:pPr>
    </w:p>
    <w:p w:rsidR="00FF1E11" w:rsidRDefault="00FF1E11" w:rsidP="00FF1E11">
      <w:pPr>
        <w:rPr>
          <w:rFonts w:ascii="Arial" w:hAnsi="Arial" w:cs="Arial"/>
          <w:sz w:val="22"/>
          <w:szCs w:val="22"/>
        </w:rPr>
      </w:pPr>
      <w:r>
        <w:rPr>
          <w:rFonts w:ascii="Arial" w:hAnsi="Arial" w:cs="Arial"/>
          <w:sz w:val="22"/>
          <w:szCs w:val="22"/>
        </w:rPr>
        <w:t>Bogotá, D.C.</w:t>
      </w:r>
    </w:p>
    <w:p w:rsidR="00FF1E11" w:rsidRDefault="00FF1E11" w:rsidP="00FF1E11"/>
    <w:p w:rsidR="00FF1E11" w:rsidRPr="00ED79F4" w:rsidRDefault="00FF1E11" w:rsidP="00FF1E11"/>
    <w:p w:rsidR="003E28C6" w:rsidRDefault="003E28C6" w:rsidP="00A725F2">
      <w:pPr>
        <w:widowControl w:val="0"/>
        <w:ind w:right="18"/>
        <w:jc w:val="both"/>
        <w:rPr>
          <w:rFonts w:ascii="Arial" w:hAnsi="Arial" w:cs="Arial"/>
          <w:b/>
          <w:bCs/>
          <w:sz w:val="22"/>
          <w:szCs w:val="22"/>
        </w:rPr>
      </w:pPr>
    </w:p>
    <w:p w:rsidR="00A725F2" w:rsidRPr="003E28C6" w:rsidRDefault="00A725F2" w:rsidP="00A725F2">
      <w:pPr>
        <w:widowControl w:val="0"/>
        <w:ind w:right="18"/>
        <w:jc w:val="both"/>
        <w:rPr>
          <w:rFonts w:ascii="Arial" w:hAnsi="Arial" w:cs="Arial"/>
          <w:b/>
          <w:bCs/>
          <w:sz w:val="22"/>
          <w:szCs w:val="22"/>
        </w:rPr>
      </w:pPr>
      <w:r w:rsidRPr="003E28C6">
        <w:rPr>
          <w:rFonts w:ascii="Arial" w:hAnsi="Arial" w:cs="Arial"/>
          <w:b/>
          <w:bCs/>
          <w:sz w:val="22"/>
          <w:szCs w:val="22"/>
        </w:rPr>
        <w:t xml:space="preserve">CATEGORIA: </w:t>
      </w:r>
      <w:r w:rsidR="003E28C6">
        <w:rPr>
          <w:rFonts w:ascii="Arial" w:hAnsi="Arial" w:cs="Arial"/>
          <w:b/>
          <w:bCs/>
          <w:sz w:val="22"/>
          <w:szCs w:val="22"/>
        </w:rPr>
        <w:t>ORGANIZACIONES DE LA ECONOMIA SOLIDARIA</w:t>
      </w:r>
    </w:p>
    <w:p w:rsidR="00A725F2" w:rsidRPr="003E28C6" w:rsidRDefault="00A725F2" w:rsidP="00A725F2">
      <w:pPr>
        <w:widowControl w:val="0"/>
        <w:ind w:right="18"/>
        <w:jc w:val="both"/>
        <w:rPr>
          <w:rFonts w:ascii="Arial" w:hAnsi="Arial" w:cs="Arial"/>
          <w:b/>
          <w:bCs/>
          <w:sz w:val="22"/>
          <w:szCs w:val="22"/>
        </w:rPr>
      </w:pPr>
    </w:p>
    <w:p w:rsidR="00A725F2" w:rsidRPr="003E28C6" w:rsidRDefault="00A725F2" w:rsidP="00A725F2">
      <w:pPr>
        <w:widowControl w:val="0"/>
        <w:ind w:right="18"/>
        <w:jc w:val="both"/>
        <w:rPr>
          <w:rFonts w:ascii="Arial" w:hAnsi="Arial" w:cs="Arial"/>
          <w:b/>
          <w:bCs/>
          <w:sz w:val="22"/>
          <w:szCs w:val="22"/>
        </w:rPr>
      </w:pPr>
      <w:r w:rsidRPr="003E28C6">
        <w:rPr>
          <w:rFonts w:ascii="Arial" w:hAnsi="Arial" w:cs="Arial"/>
          <w:b/>
          <w:bCs/>
          <w:sz w:val="22"/>
          <w:szCs w:val="22"/>
        </w:rPr>
        <w:t>SUBCATEGORIA: FONDOS SOCIALES</w:t>
      </w:r>
    </w:p>
    <w:p w:rsidR="00A725F2" w:rsidRPr="003E28C6" w:rsidRDefault="00A725F2" w:rsidP="00A725F2">
      <w:pPr>
        <w:widowControl w:val="0"/>
        <w:ind w:right="18"/>
        <w:jc w:val="both"/>
        <w:rPr>
          <w:rFonts w:ascii="Arial" w:hAnsi="Arial" w:cs="Arial"/>
          <w:b/>
          <w:bCs/>
          <w:sz w:val="22"/>
          <w:szCs w:val="22"/>
        </w:rPr>
      </w:pPr>
    </w:p>
    <w:p w:rsidR="00A725F2" w:rsidRPr="003E28C6" w:rsidRDefault="00A725F2" w:rsidP="00A725F2">
      <w:pPr>
        <w:widowControl w:val="0"/>
        <w:ind w:right="18"/>
        <w:jc w:val="both"/>
        <w:rPr>
          <w:rFonts w:ascii="Arial" w:hAnsi="Arial" w:cs="Arial"/>
          <w:b/>
          <w:bCs/>
          <w:sz w:val="22"/>
          <w:szCs w:val="22"/>
        </w:rPr>
      </w:pPr>
      <w:r w:rsidRPr="003E28C6">
        <w:rPr>
          <w:rFonts w:ascii="Arial" w:hAnsi="Arial" w:cs="Arial"/>
          <w:b/>
          <w:bCs/>
          <w:sz w:val="22"/>
          <w:szCs w:val="22"/>
        </w:rPr>
        <w:t>NOMBRE: INCREMENTO DE FONDOS SOCIALES VIA PRESUPUESTO</w:t>
      </w:r>
    </w:p>
    <w:p w:rsidR="00A725F2" w:rsidRPr="003E28C6" w:rsidRDefault="00A725F2" w:rsidP="00A725F2">
      <w:pPr>
        <w:widowControl w:val="0"/>
        <w:ind w:right="18"/>
        <w:jc w:val="both"/>
        <w:rPr>
          <w:rFonts w:ascii="Arial" w:hAnsi="Arial" w:cs="Arial"/>
          <w:b/>
          <w:bCs/>
          <w:sz w:val="22"/>
          <w:szCs w:val="22"/>
        </w:rPr>
      </w:pPr>
    </w:p>
    <w:p w:rsidR="00A725F2" w:rsidRPr="003E28C6" w:rsidRDefault="00A725F2" w:rsidP="00A725F2">
      <w:pPr>
        <w:widowControl w:val="0"/>
        <w:ind w:right="18"/>
        <w:jc w:val="both"/>
        <w:rPr>
          <w:rFonts w:ascii="Arial" w:hAnsi="Arial" w:cs="Arial"/>
          <w:b/>
          <w:bCs/>
          <w:sz w:val="22"/>
          <w:szCs w:val="22"/>
        </w:rPr>
      </w:pPr>
      <w:r w:rsidRPr="003E28C6">
        <w:rPr>
          <w:rFonts w:ascii="Arial" w:hAnsi="Arial" w:cs="Arial"/>
          <w:b/>
          <w:bCs/>
          <w:sz w:val="22"/>
          <w:szCs w:val="22"/>
        </w:rPr>
        <w:t>RESUMEN: Viabilidad o no de incremen</w:t>
      </w:r>
      <w:r w:rsidR="00ED79F4" w:rsidRPr="003E28C6">
        <w:rPr>
          <w:rFonts w:ascii="Arial" w:hAnsi="Arial" w:cs="Arial"/>
          <w:b/>
          <w:bCs/>
          <w:sz w:val="22"/>
          <w:szCs w:val="22"/>
        </w:rPr>
        <w:t xml:space="preserve">tar con cargo al </w:t>
      </w:r>
      <w:r w:rsidR="002838A7">
        <w:rPr>
          <w:rFonts w:ascii="Arial" w:hAnsi="Arial" w:cs="Arial"/>
          <w:b/>
          <w:bCs/>
          <w:sz w:val="22"/>
          <w:szCs w:val="22"/>
        </w:rPr>
        <w:t>presupuesto</w:t>
      </w:r>
      <w:r w:rsidR="00ED79F4" w:rsidRPr="003E28C6">
        <w:rPr>
          <w:rFonts w:ascii="Arial" w:hAnsi="Arial" w:cs="Arial"/>
          <w:b/>
          <w:bCs/>
          <w:sz w:val="22"/>
          <w:szCs w:val="22"/>
        </w:rPr>
        <w:t xml:space="preserve"> anual</w:t>
      </w:r>
      <w:r w:rsidRPr="003E28C6">
        <w:rPr>
          <w:rFonts w:ascii="Arial" w:hAnsi="Arial" w:cs="Arial"/>
          <w:b/>
          <w:bCs/>
          <w:sz w:val="22"/>
          <w:szCs w:val="22"/>
        </w:rPr>
        <w:t xml:space="preserve"> las reservas y fondos </w:t>
      </w:r>
      <w:r w:rsidR="003E28C6">
        <w:rPr>
          <w:rFonts w:ascii="Arial" w:hAnsi="Arial" w:cs="Arial"/>
          <w:b/>
          <w:bCs/>
          <w:sz w:val="22"/>
          <w:szCs w:val="22"/>
        </w:rPr>
        <w:t>de carácter patrimonial.</w:t>
      </w:r>
    </w:p>
    <w:p w:rsidR="00A725F2" w:rsidRPr="00B659EB" w:rsidRDefault="00A725F2" w:rsidP="00A725F2">
      <w:pPr>
        <w:widowControl w:val="0"/>
        <w:ind w:right="18"/>
        <w:jc w:val="both"/>
        <w:rPr>
          <w:rFonts w:ascii="Arial" w:hAnsi="Arial" w:cs="Arial"/>
          <w:bCs/>
          <w:sz w:val="22"/>
          <w:szCs w:val="22"/>
        </w:rPr>
      </w:pPr>
    </w:p>
    <w:p w:rsidR="00A725F2" w:rsidRPr="00B659EB" w:rsidRDefault="00A725F2" w:rsidP="00A725F2">
      <w:pPr>
        <w:widowControl w:val="0"/>
        <w:ind w:right="18"/>
        <w:jc w:val="both"/>
        <w:rPr>
          <w:rFonts w:ascii="Arial" w:hAnsi="Arial" w:cs="Arial"/>
          <w:bCs/>
          <w:sz w:val="22"/>
          <w:szCs w:val="22"/>
        </w:rPr>
      </w:pPr>
    </w:p>
    <w:p w:rsidR="00A725F2" w:rsidRPr="00661A2F" w:rsidRDefault="00ED79F4" w:rsidP="00A725F2">
      <w:pPr>
        <w:widowControl w:val="0"/>
        <w:ind w:right="18"/>
        <w:jc w:val="both"/>
        <w:rPr>
          <w:rFonts w:ascii="Arial" w:hAnsi="Arial" w:cs="Arial"/>
          <w:bCs/>
          <w:i/>
          <w:sz w:val="20"/>
          <w:szCs w:val="20"/>
        </w:rPr>
      </w:pPr>
      <w:r>
        <w:rPr>
          <w:rFonts w:ascii="Arial" w:hAnsi="Arial" w:cs="Arial"/>
          <w:bCs/>
          <w:sz w:val="22"/>
          <w:szCs w:val="22"/>
        </w:rPr>
        <w:t>En esta ocasión,</w:t>
      </w:r>
      <w:r w:rsidR="00964CC5">
        <w:rPr>
          <w:rFonts w:ascii="Arial" w:hAnsi="Arial" w:cs="Arial"/>
          <w:bCs/>
          <w:sz w:val="22"/>
          <w:szCs w:val="22"/>
        </w:rPr>
        <w:t xml:space="preserve"> la</w:t>
      </w:r>
      <w:r>
        <w:rPr>
          <w:rFonts w:ascii="Arial" w:hAnsi="Arial" w:cs="Arial"/>
          <w:bCs/>
          <w:sz w:val="22"/>
          <w:szCs w:val="22"/>
        </w:rPr>
        <w:t xml:space="preserve"> </w:t>
      </w:r>
      <w:r w:rsidR="00B06E59">
        <w:rPr>
          <w:rFonts w:ascii="Arial" w:hAnsi="Arial" w:cs="Arial"/>
          <w:bCs/>
          <w:sz w:val="22"/>
          <w:szCs w:val="22"/>
        </w:rPr>
        <w:t xml:space="preserve">Oficina Asesora Jurídica de la </w:t>
      </w:r>
      <w:r>
        <w:rPr>
          <w:rFonts w:ascii="Arial" w:hAnsi="Arial" w:cs="Arial"/>
          <w:bCs/>
          <w:sz w:val="22"/>
          <w:szCs w:val="22"/>
        </w:rPr>
        <w:t xml:space="preserve">Superintendencia </w:t>
      </w:r>
      <w:r w:rsidR="00964CC5">
        <w:rPr>
          <w:rFonts w:ascii="Arial" w:hAnsi="Arial" w:cs="Arial"/>
          <w:bCs/>
          <w:sz w:val="22"/>
          <w:szCs w:val="22"/>
        </w:rPr>
        <w:t xml:space="preserve">de la Economía Solidaria </w:t>
      </w:r>
      <w:r>
        <w:rPr>
          <w:rFonts w:ascii="Arial" w:hAnsi="Arial" w:cs="Arial"/>
          <w:bCs/>
          <w:sz w:val="22"/>
          <w:szCs w:val="22"/>
        </w:rPr>
        <w:t xml:space="preserve">reitera el concepto jurídico relacionado con la </w:t>
      </w:r>
      <w:r w:rsidR="00A725F2" w:rsidRPr="00661A2F">
        <w:rPr>
          <w:rFonts w:ascii="Arial" w:hAnsi="Arial" w:cs="Arial"/>
          <w:bCs/>
          <w:i/>
          <w:sz w:val="22"/>
          <w:szCs w:val="22"/>
        </w:rPr>
        <w:t>“</w:t>
      </w:r>
      <w:r w:rsidR="003E28C6">
        <w:rPr>
          <w:rFonts w:ascii="Arial" w:hAnsi="Arial" w:cs="Arial"/>
          <w:bCs/>
          <w:i/>
          <w:sz w:val="22"/>
          <w:szCs w:val="22"/>
        </w:rPr>
        <w:t xml:space="preserve">Viabilidad </w:t>
      </w:r>
      <w:r w:rsidR="00A725F2" w:rsidRPr="00661A2F">
        <w:rPr>
          <w:rFonts w:ascii="Arial" w:hAnsi="Arial" w:cs="Arial"/>
          <w:bCs/>
          <w:i/>
          <w:sz w:val="22"/>
          <w:szCs w:val="22"/>
        </w:rPr>
        <w:t>de increm</w:t>
      </w:r>
      <w:r w:rsidR="003E28C6">
        <w:rPr>
          <w:rFonts w:ascii="Arial" w:hAnsi="Arial" w:cs="Arial"/>
          <w:bCs/>
          <w:i/>
          <w:sz w:val="22"/>
          <w:szCs w:val="22"/>
        </w:rPr>
        <w:t xml:space="preserve">entar con cargo al </w:t>
      </w:r>
      <w:r w:rsidR="002838A7">
        <w:rPr>
          <w:rFonts w:ascii="Arial" w:hAnsi="Arial" w:cs="Arial"/>
          <w:bCs/>
          <w:i/>
          <w:sz w:val="22"/>
          <w:szCs w:val="22"/>
        </w:rPr>
        <w:t xml:space="preserve">presupuesto </w:t>
      </w:r>
      <w:r w:rsidR="003E28C6">
        <w:rPr>
          <w:rFonts w:ascii="Arial" w:hAnsi="Arial" w:cs="Arial"/>
          <w:bCs/>
          <w:i/>
          <w:sz w:val="22"/>
          <w:szCs w:val="22"/>
        </w:rPr>
        <w:t>anual</w:t>
      </w:r>
      <w:r w:rsidR="00A725F2" w:rsidRPr="00661A2F">
        <w:rPr>
          <w:rFonts w:ascii="Arial" w:hAnsi="Arial" w:cs="Arial"/>
          <w:bCs/>
          <w:i/>
          <w:sz w:val="22"/>
          <w:szCs w:val="22"/>
        </w:rPr>
        <w:t xml:space="preserve"> las reservas y fondos </w:t>
      </w:r>
      <w:r w:rsidR="003E28C6">
        <w:rPr>
          <w:rFonts w:ascii="Arial" w:hAnsi="Arial" w:cs="Arial"/>
          <w:bCs/>
          <w:i/>
          <w:sz w:val="22"/>
          <w:szCs w:val="22"/>
        </w:rPr>
        <w:t>de carácter patrimonial como es el de revalorización de aportes y amortización de aportes</w:t>
      </w:r>
      <w:r w:rsidR="00A725F2" w:rsidRPr="00661A2F">
        <w:rPr>
          <w:rFonts w:ascii="Arial" w:hAnsi="Arial" w:cs="Arial"/>
          <w:bCs/>
          <w:sz w:val="22"/>
          <w:szCs w:val="22"/>
        </w:rPr>
        <w:t>.</w:t>
      </w:r>
    </w:p>
    <w:p w:rsidR="00A725F2" w:rsidRPr="00B659EB" w:rsidRDefault="00A725F2" w:rsidP="00A725F2">
      <w:pPr>
        <w:ind w:right="18"/>
        <w:jc w:val="both"/>
        <w:rPr>
          <w:rFonts w:ascii="Arial" w:hAnsi="Arial" w:cs="Arial"/>
          <w:bCs/>
          <w:iCs/>
          <w:sz w:val="22"/>
          <w:szCs w:val="22"/>
        </w:rPr>
      </w:pPr>
    </w:p>
    <w:p w:rsidR="00A725F2" w:rsidRPr="00661A2F" w:rsidRDefault="00A725F2" w:rsidP="002838A7">
      <w:pPr>
        <w:tabs>
          <w:tab w:val="left" w:pos="1725"/>
        </w:tabs>
        <w:ind w:right="18"/>
        <w:jc w:val="both"/>
        <w:rPr>
          <w:rFonts w:ascii="Arial" w:hAnsi="Arial" w:cs="Arial"/>
          <w:i/>
          <w:sz w:val="20"/>
          <w:szCs w:val="20"/>
        </w:rPr>
      </w:pPr>
      <w:r w:rsidRPr="00661A2F">
        <w:rPr>
          <w:rFonts w:ascii="Arial" w:hAnsi="Arial" w:cs="Arial"/>
          <w:snapToGrid w:val="0"/>
          <w:sz w:val="22"/>
          <w:szCs w:val="22"/>
        </w:rPr>
        <w:t xml:space="preserve">Los excedentes de las cooperativas deben ser destinados </w:t>
      </w:r>
      <w:r w:rsidR="002838A7">
        <w:rPr>
          <w:rFonts w:ascii="Arial" w:hAnsi="Arial" w:cs="Arial"/>
          <w:snapToGrid w:val="0"/>
          <w:sz w:val="22"/>
          <w:szCs w:val="22"/>
        </w:rPr>
        <w:t xml:space="preserve">por la asamblea general de asociados o por delegados, </w:t>
      </w:r>
      <w:r w:rsidRPr="00661A2F">
        <w:rPr>
          <w:rFonts w:ascii="Arial" w:hAnsi="Arial" w:cs="Arial"/>
          <w:snapToGrid w:val="0"/>
          <w:sz w:val="22"/>
          <w:szCs w:val="22"/>
        </w:rPr>
        <w:t>con</w:t>
      </w:r>
      <w:r w:rsidR="00ED79F4">
        <w:rPr>
          <w:rFonts w:ascii="Arial" w:hAnsi="Arial" w:cs="Arial"/>
          <w:snapToGrid w:val="0"/>
          <w:sz w:val="22"/>
          <w:szCs w:val="22"/>
        </w:rPr>
        <w:t xml:space="preserve"> sujeción al artículo 54 de la L</w:t>
      </w:r>
      <w:r w:rsidRPr="00661A2F">
        <w:rPr>
          <w:rFonts w:ascii="Arial" w:hAnsi="Arial" w:cs="Arial"/>
          <w:snapToGrid w:val="0"/>
          <w:sz w:val="22"/>
          <w:szCs w:val="22"/>
        </w:rPr>
        <w:t>ey 79 de 1998</w:t>
      </w:r>
      <w:r w:rsidR="002838A7">
        <w:rPr>
          <w:rFonts w:ascii="Arial" w:hAnsi="Arial" w:cs="Arial"/>
          <w:snapToGrid w:val="0"/>
          <w:sz w:val="22"/>
          <w:szCs w:val="22"/>
        </w:rPr>
        <w:t>.</w:t>
      </w:r>
    </w:p>
    <w:p w:rsidR="00A725F2" w:rsidRPr="00661A2F" w:rsidRDefault="00A725F2" w:rsidP="00A725F2">
      <w:pPr>
        <w:tabs>
          <w:tab w:val="left" w:pos="1725"/>
        </w:tabs>
        <w:ind w:right="18"/>
        <w:jc w:val="both"/>
        <w:rPr>
          <w:rFonts w:ascii="Arial" w:hAnsi="Arial" w:cs="Arial"/>
          <w:snapToGrid w:val="0"/>
          <w:sz w:val="22"/>
          <w:szCs w:val="22"/>
        </w:rPr>
      </w:pPr>
    </w:p>
    <w:p w:rsidR="00A725F2" w:rsidRPr="00661A2F" w:rsidRDefault="002838A7" w:rsidP="00A725F2">
      <w:pPr>
        <w:tabs>
          <w:tab w:val="left" w:pos="1725"/>
        </w:tabs>
        <w:ind w:right="18"/>
        <w:jc w:val="both"/>
        <w:rPr>
          <w:rFonts w:ascii="Arial" w:hAnsi="Arial" w:cs="Arial"/>
          <w:snapToGrid w:val="0"/>
          <w:sz w:val="22"/>
          <w:szCs w:val="22"/>
        </w:rPr>
      </w:pPr>
      <w:r>
        <w:rPr>
          <w:rFonts w:ascii="Arial" w:hAnsi="Arial" w:cs="Arial"/>
          <w:snapToGrid w:val="0"/>
          <w:sz w:val="22"/>
          <w:szCs w:val="22"/>
        </w:rPr>
        <w:t xml:space="preserve">Por su parte, el artículo 56 ibídem </w:t>
      </w:r>
      <w:r w:rsidR="00A725F2" w:rsidRPr="00661A2F">
        <w:rPr>
          <w:rFonts w:ascii="Arial" w:hAnsi="Arial" w:cs="Arial"/>
          <w:snapToGrid w:val="0"/>
          <w:sz w:val="22"/>
          <w:szCs w:val="22"/>
        </w:rPr>
        <w:t xml:space="preserve">establece la posibilidad legal de </w:t>
      </w:r>
      <w:r w:rsidR="00964CC5">
        <w:rPr>
          <w:rFonts w:ascii="Arial" w:hAnsi="Arial" w:cs="Arial"/>
          <w:snapToGrid w:val="0"/>
          <w:sz w:val="22"/>
          <w:szCs w:val="22"/>
        </w:rPr>
        <w:t>las cooperativas de crear otras</w:t>
      </w:r>
      <w:r w:rsidR="00A725F2" w:rsidRPr="00661A2F">
        <w:rPr>
          <w:rFonts w:ascii="Arial" w:hAnsi="Arial" w:cs="Arial"/>
          <w:snapToGrid w:val="0"/>
          <w:sz w:val="22"/>
          <w:szCs w:val="22"/>
        </w:rPr>
        <w:t xml:space="preserve"> reservas y fondos con fines determinados y prever e</w:t>
      </w:r>
      <w:r w:rsidR="00634D9F">
        <w:rPr>
          <w:rFonts w:ascii="Arial" w:hAnsi="Arial" w:cs="Arial"/>
          <w:snapToGrid w:val="0"/>
          <w:sz w:val="22"/>
          <w:szCs w:val="22"/>
        </w:rPr>
        <w:t>n los presupuestos incrementos de</w:t>
      </w:r>
      <w:r w:rsidR="00A725F2" w:rsidRPr="00661A2F">
        <w:rPr>
          <w:rFonts w:ascii="Arial" w:hAnsi="Arial" w:cs="Arial"/>
          <w:snapToGrid w:val="0"/>
          <w:sz w:val="22"/>
          <w:szCs w:val="22"/>
        </w:rPr>
        <w:t xml:space="preserve"> éstos con cargo al ejercicio anual.</w:t>
      </w:r>
    </w:p>
    <w:p w:rsidR="00A725F2" w:rsidRPr="00661A2F" w:rsidRDefault="00A725F2" w:rsidP="00A725F2">
      <w:pPr>
        <w:tabs>
          <w:tab w:val="left" w:pos="1725"/>
        </w:tabs>
        <w:ind w:right="18"/>
        <w:jc w:val="both"/>
        <w:rPr>
          <w:rFonts w:ascii="Arial" w:hAnsi="Arial" w:cs="Arial"/>
          <w:snapToGrid w:val="0"/>
          <w:sz w:val="22"/>
          <w:szCs w:val="22"/>
        </w:rPr>
      </w:pPr>
    </w:p>
    <w:p w:rsidR="00A725F2" w:rsidRPr="00661A2F" w:rsidRDefault="00A725F2" w:rsidP="00A725F2">
      <w:pPr>
        <w:pStyle w:val="NormalWeb"/>
        <w:spacing w:before="0" w:beforeAutospacing="0" w:after="0" w:afterAutospacing="0"/>
        <w:jc w:val="both"/>
        <w:rPr>
          <w:rFonts w:ascii="Arial" w:hAnsi="Arial" w:cs="Arial"/>
          <w:i/>
          <w:sz w:val="20"/>
          <w:szCs w:val="20"/>
        </w:rPr>
      </w:pPr>
      <w:r w:rsidRPr="00661A2F">
        <w:rPr>
          <w:rFonts w:ascii="Arial" w:hAnsi="Arial" w:cs="Arial"/>
          <w:b/>
          <w:bCs/>
          <w:i/>
          <w:sz w:val="20"/>
          <w:szCs w:val="20"/>
        </w:rPr>
        <w:t>ARTICULO 56.</w:t>
      </w:r>
      <w:r w:rsidRPr="00661A2F">
        <w:rPr>
          <w:rFonts w:ascii="Arial" w:hAnsi="Arial" w:cs="Arial"/>
          <w:i/>
          <w:sz w:val="20"/>
          <w:szCs w:val="20"/>
        </w:rPr>
        <w:t xml:space="preserve"> "Las cooperativas podrán crear por decisión de </w:t>
      </w:r>
      <w:smartTag w:uri="urn:schemas-microsoft-com:office:smarttags" w:element="PersonName">
        <w:smartTagPr>
          <w:attr w:name="ProductID" w:val="la Asamblea General"/>
        </w:smartTagPr>
        <w:r w:rsidRPr="00661A2F">
          <w:rPr>
            <w:rFonts w:ascii="Arial" w:hAnsi="Arial" w:cs="Arial"/>
            <w:i/>
            <w:sz w:val="20"/>
            <w:szCs w:val="20"/>
          </w:rPr>
          <w:t>la Asamblea General</w:t>
        </w:r>
      </w:smartTag>
      <w:r w:rsidRPr="00661A2F">
        <w:rPr>
          <w:rFonts w:ascii="Arial" w:hAnsi="Arial" w:cs="Arial"/>
          <w:i/>
          <w:sz w:val="20"/>
          <w:szCs w:val="20"/>
        </w:rPr>
        <w:t xml:space="preserve"> </w:t>
      </w:r>
      <w:r w:rsidRPr="00661A2F">
        <w:rPr>
          <w:rFonts w:ascii="Arial" w:hAnsi="Arial" w:cs="Arial"/>
          <w:b/>
          <w:i/>
          <w:sz w:val="20"/>
          <w:szCs w:val="20"/>
        </w:rPr>
        <w:t>otras reservas y fondos</w:t>
      </w:r>
      <w:r w:rsidRPr="00661A2F">
        <w:rPr>
          <w:rFonts w:ascii="Arial" w:hAnsi="Arial" w:cs="Arial"/>
          <w:i/>
          <w:sz w:val="20"/>
          <w:szCs w:val="20"/>
        </w:rPr>
        <w:t xml:space="preserve"> con fines determinados.</w:t>
      </w:r>
    </w:p>
    <w:p w:rsidR="00A725F2" w:rsidRPr="00661A2F" w:rsidRDefault="00A725F2" w:rsidP="00A725F2">
      <w:pPr>
        <w:pStyle w:val="NormalWeb"/>
        <w:spacing w:before="0" w:beforeAutospacing="0" w:after="0" w:afterAutospacing="0"/>
        <w:jc w:val="both"/>
        <w:rPr>
          <w:rFonts w:ascii="Arial" w:hAnsi="Arial" w:cs="Arial"/>
          <w:i/>
          <w:sz w:val="20"/>
          <w:szCs w:val="20"/>
        </w:rPr>
      </w:pPr>
    </w:p>
    <w:p w:rsidR="00A725F2" w:rsidRPr="00661A2F" w:rsidRDefault="00A725F2" w:rsidP="00A725F2">
      <w:pPr>
        <w:tabs>
          <w:tab w:val="left" w:pos="1725"/>
        </w:tabs>
        <w:ind w:right="18"/>
        <w:jc w:val="both"/>
        <w:rPr>
          <w:rFonts w:ascii="Arial" w:hAnsi="Arial" w:cs="Arial"/>
          <w:i/>
          <w:snapToGrid w:val="0"/>
          <w:sz w:val="22"/>
          <w:szCs w:val="22"/>
        </w:rPr>
      </w:pPr>
      <w:r w:rsidRPr="00661A2F">
        <w:rPr>
          <w:rFonts w:ascii="Arial" w:hAnsi="Arial" w:cs="Arial"/>
          <w:i/>
          <w:sz w:val="20"/>
          <w:szCs w:val="20"/>
        </w:rPr>
        <w:t xml:space="preserve">Igualmente </w:t>
      </w:r>
      <w:r w:rsidRPr="00661A2F">
        <w:rPr>
          <w:rFonts w:ascii="Arial" w:hAnsi="Arial" w:cs="Arial"/>
          <w:b/>
          <w:i/>
          <w:sz w:val="20"/>
          <w:szCs w:val="20"/>
        </w:rPr>
        <w:t>podrán prever en sus presupuestos</w:t>
      </w:r>
      <w:r w:rsidRPr="00661A2F">
        <w:rPr>
          <w:rFonts w:ascii="Arial" w:hAnsi="Arial" w:cs="Arial"/>
          <w:i/>
          <w:sz w:val="20"/>
          <w:szCs w:val="20"/>
        </w:rPr>
        <w:t xml:space="preserve"> y registrar en su contabilidad </w:t>
      </w:r>
      <w:r w:rsidRPr="00661A2F">
        <w:rPr>
          <w:rFonts w:ascii="Arial" w:hAnsi="Arial" w:cs="Arial"/>
          <w:b/>
          <w:i/>
          <w:sz w:val="20"/>
          <w:szCs w:val="20"/>
        </w:rPr>
        <w:t>incrementos progresivos</w:t>
      </w:r>
      <w:r w:rsidRPr="00661A2F">
        <w:rPr>
          <w:rFonts w:ascii="Arial" w:hAnsi="Arial" w:cs="Arial"/>
          <w:i/>
          <w:sz w:val="20"/>
          <w:szCs w:val="20"/>
        </w:rPr>
        <w:t xml:space="preserve"> de las reservas y fondos </w:t>
      </w:r>
      <w:r w:rsidRPr="00661A2F">
        <w:rPr>
          <w:rFonts w:ascii="Arial" w:hAnsi="Arial" w:cs="Arial"/>
          <w:b/>
          <w:i/>
          <w:sz w:val="20"/>
          <w:szCs w:val="20"/>
        </w:rPr>
        <w:t>con cargo al ejercicio</w:t>
      </w:r>
      <w:r w:rsidRPr="00661A2F">
        <w:rPr>
          <w:rFonts w:ascii="Arial" w:hAnsi="Arial" w:cs="Arial"/>
          <w:i/>
          <w:sz w:val="20"/>
          <w:szCs w:val="20"/>
        </w:rPr>
        <w:t xml:space="preserve"> anual".</w:t>
      </w:r>
    </w:p>
    <w:p w:rsidR="00A725F2" w:rsidRPr="00661A2F" w:rsidRDefault="00A725F2" w:rsidP="00A725F2">
      <w:pPr>
        <w:tabs>
          <w:tab w:val="left" w:pos="1725"/>
        </w:tabs>
        <w:ind w:right="18"/>
        <w:jc w:val="both"/>
        <w:rPr>
          <w:rFonts w:ascii="Arial" w:hAnsi="Arial" w:cs="Arial"/>
          <w:snapToGrid w:val="0"/>
          <w:sz w:val="22"/>
          <w:szCs w:val="22"/>
        </w:rPr>
      </w:pPr>
      <w:r w:rsidRPr="00661A2F">
        <w:rPr>
          <w:rFonts w:ascii="Arial" w:hAnsi="Arial" w:cs="Arial"/>
          <w:snapToGrid w:val="0"/>
          <w:sz w:val="22"/>
          <w:szCs w:val="22"/>
        </w:rPr>
        <w:t>(Negrillas por fuera del texto original)</w:t>
      </w:r>
    </w:p>
    <w:p w:rsidR="00A725F2" w:rsidRDefault="00A725F2" w:rsidP="00A725F2">
      <w:pPr>
        <w:tabs>
          <w:tab w:val="left" w:pos="1725"/>
        </w:tabs>
        <w:ind w:right="18"/>
        <w:jc w:val="both"/>
        <w:rPr>
          <w:rFonts w:ascii="Arial" w:hAnsi="Arial" w:cs="Arial"/>
          <w:snapToGrid w:val="0"/>
          <w:sz w:val="22"/>
          <w:szCs w:val="22"/>
        </w:rPr>
      </w:pPr>
    </w:p>
    <w:p w:rsidR="00A725F2" w:rsidRPr="00661A2F" w:rsidRDefault="00A725F2" w:rsidP="00A725F2">
      <w:pPr>
        <w:tabs>
          <w:tab w:val="left" w:pos="1725"/>
        </w:tabs>
        <w:ind w:right="18"/>
        <w:jc w:val="both"/>
        <w:rPr>
          <w:rFonts w:ascii="Arial" w:hAnsi="Arial" w:cs="Arial"/>
          <w:snapToGrid w:val="0"/>
          <w:sz w:val="22"/>
          <w:szCs w:val="22"/>
        </w:rPr>
      </w:pPr>
    </w:p>
    <w:p w:rsidR="002838A7" w:rsidRDefault="002838A7" w:rsidP="00A725F2">
      <w:pPr>
        <w:tabs>
          <w:tab w:val="left" w:pos="1725"/>
        </w:tabs>
        <w:ind w:right="18"/>
        <w:jc w:val="both"/>
        <w:rPr>
          <w:rFonts w:ascii="Arial" w:hAnsi="Arial" w:cs="Arial"/>
          <w:snapToGrid w:val="0"/>
          <w:sz w:val="22"/>
          <w:szCs w:val="22"/>
        </w:rPr>
      </w:pPr>
      <w:r>
        <w:rPr>
          <w:rFonts w:ascii="Arial" w:hAnsi="Arial" w:cs="Arial"/>
          <w:snapToGrid w:val="0"/>
          <w:sz w:val="22"/>
          <w:szCs w:val="22"/>
        </w:rPr>
        <w:t xml:space="preserve">Es importante aclarar por parte de esta </w:t>
      </w:r>
      <w:r w:rsidR="00B06E59">
        <w:rPr>
          <w:rFonts w:ascii="Arial" w:hAnsi="Arial" w:cs="Arial"/>
          <w:snapToGrid w:val="0"/>
          <w:sz w:val="22"/>
          <w:szCs w:val="22"/>
        </w:rPr>
        <w:t>Oficina</w:t>
      </w:r>
      <w:r>
        <w:rPr>
          <w:rFonts w:ascii="Arial" w:hAnsi="Arial" w:cs="Arial"/>
          <w:snapToGrid w:val="0"/>
          <w:sz w:val="22"/>
          <w:szCs w:val="22"/>
        </w:rPr>
        <w:t xml:space="preserve"> que existen dos clases de fondos: Fondos Patrimoniales y Fondos Sociales Pasivos. </w:t>
      </w:r>
    </w:p>
    <w:p w:rsidR="002838A7" w:rsidRDefault="002838A7" w:rsidP="00A725F2">
      <w:pPr>
        <w:tabs>
          <w:tab w:val="left" w:pos="1725"/>
        </w:tabs>
        <w:ind w:right="18"/>
        <w:jc w:val="both"/>
        <w:rPr>
          <w:rFonts w:ascii="Arial" w:hAnsi="Arial" w:cs="Arial"/>
          <w:snapToGrid w:val="0"/>
          <w:sz w:val="22"/>
          <w:szCs w:val="22"/>
        </w:rPr>
      </w:pPr>
    </w:p>
    <w:p w:rsidR="00A725F2" w:rsidRPr="002838A7" w:rsidRDefault="002838A7" w:rsidP="00A725F2">
      <w:pPr>
        <w:tabs>
          <w:tab w:val="left" w:pos="1725"/>
        </w:tabs>
        <w:ind w:right="18"/>
        <w:jc w:val="both"/>
        <w:rPr>
          <w:rFonts w:ascii="Arial" w:hAnsi="Arial" w:cs="Arial"/>
          <w:snapToGrid w:val="0"/>
          <w:sz w:val="22"/>
          <w:szCs w:val="22"/>
        </w:rPr>
      </w:pPr>
      <w:r>
        <w:rPr>
          <w:rFonts w:ascii="Arial" w:hAnsi="Arial" w:cs="Arial"/>
          <w:snapToGrid w:val="0"/>
          <w:sz w:val="22"/>
          <w:szCs w:val="22"/>
        </w:rPr>
        <w:t xml:space="preserve">Los fondos patrimoniales de acuerdo con las instrucciones impartidas por </w:t>
      </w:r>
      <w:r w:rsidR="00B06E59">
        <w:rPr>
          <w:rFonts w:ascii="Arial" w:hAnsi="Arial" w:cs="Arial"/>
          <w:snapToGrid w:val="0"/>
          <w:sz w:val="22"/>
          <w:szCs w:val="22"/>
        </w:rPr>
        <w:t>l</w:t>
      </w:r>
      <w:r>
        <w:rPr>
          <w:rFonts w:ascii="Arial" w:hAnsi="Arial" w:cs="Arial"/>
          <w:snapToGrid w:val="0"/>
          <w:sz w:val="22"/>
          <w:szCs w:val="22"/>
        </w:rPr>
        <w:t xml:space="preserve">a Superintendencia </w:t>
      </w:r>
      <w:r w:rsidR="00B06E59">
        <w:rPr>
          <w:rFonts w:ascii="Arial" w:hAnsi="Arial" w:cs="Arial"/>
          <w:snapToGrid w:val="0"/>
          <w:sz w:val="22"/>
          <w:szCs w:val="22"/>
        </w:rPr>
        <w:t xml:space="preserve">de la Economía Solidaria, </w:t>
      </w:r>
      <w:r>
        <w:rPr>
          <w:rFonts w:ascii="Arial" w:hAnsi="Arial" w:cs="Arial"/>
          <w:snapToGrid w:val="0"/>
          <w:sz w:val="22"/>
          <w:szCs w:val="22"/>
        </w:rPr>
        <w:t>en especial en el Capítulo VIII de la Circular Básica Contable y Financiera No. 004 de 2008, en ejercicio de las facultades conferidas en los artículo</w:t>
      </w:r>
      <w:r w:rsidR="00964CC5">
        <w:rPr>
          <w:rFonts w:ascii="Arial" w:hAnsi="Arial" w:cs="Arial"/>
          <w:snapToGrid w:val="0"/>
          <w:sz w:val="22"/>
          <w:szCs w:val="22"/>
        </w:rPr>
        <w:t xml:space="preserve"> 35 y 36 de la Ley 454 de 1998 y el D</w:t>
      </w:r>
      <w:r>
        <w:rPr>
          <w:rFonts w:ascii="Arial" w:hAnsi="Arial" w:cs="Arial"/>
          <w:snapToGrid w:val="0"/>
          <w:sz w:val="22"/>
          <w:szCs w:val="22"/>
        </w:rPr>
        <w:t>ecreto 186 de 2004, los fondos patrimoniales como son el de revalorización de aportes y el de amortización de aportes no pueden constituirse ni sufragarse con cargo al presupuesto anual de la entidad solidaria sino únicamente vía la destinación de excedentes del ejercicio anual.</w:t>
      </w:r>
    </w:p>
    <w:p w:rsidR="00A725F2" w:rsidRPr="005907F4" w:rsidRDefault="00A725F2" w:rsidP="00A725F2">
      <w:pPr>
        <w:tabs>
          <w:tab w:val="left" w:pos="1725"/>
        </w:tabs>
        <w:ind w:right="18"/>
        <w:jc w:val="both"/>
        <w:rPr>
          <w:rFonts w:ascii="Arial" w:hAnsi="Arial" w:cs="Arial"/>
          <w:snapToGrid w:val="0"/>
          <w:sz w:val="22"/>
          <w:szCs w:val="22"/>
        </w:rPr>
      </w:pPr>
    </w:p>
    <w:p w:rsidR="00A725F2" w:rsidRDefault="00A725F2" w:rsidP="00A725F2">
      <w:pPr>
        <w:tabs>
          <w:tab w:val="left" w:pos="1725"/>
        </w:tabs>
        <w:ind w:right="18"/>
        <w:jc w:val="both"/>
        <w:rPr>
          <w:rFonts w:ascii="Arial" w:hAnsi="Arial" w:cs="Arial"/>
          <w:snapToGrid w:val="0"/>
          <w:sz w:val="22"/>
          <w:szCs w:val="22"/>
        </w:rPr>
      </w:pPr>
      <w:r>
        <w:rPr>
          <w:rFonts w:ascii="Arial" w:hAnsi="Arial" w:cs="Arial"/>
          <w:snapToGrid w:val="0"/>
          <w:sz w:val="22"/>
          <w:szCs w:val="22"/>
        </w:rPr>
        <w:lastRenderedPageBreak/>
        <w:t>Lo anterior</w:t>
      </w:r>
      <w:r w:rsidR="00964CC5">
        <w:rPr>
          <w:rFonts w:ascii="Arial" w:hAnsi="Arial" w:cs="Arial"/>
          <w:snapToGrid w:val="0"/>
          <w:sz w:val="22"/>
          <w:szCs w:val="22"/>
        </w:rPr>
        <w:t>,</w:t>
      </w:r>
      <w:r>
        <w:rPr>
          <w:rFonts w:ascii="Arial" w:hAnsi="Arial" w:cs="Arial"/>
          <w:snapToGrid w:val="0"/>
          <w:sz w:val="22"/>
          <w:szCs w:val="22"/>
        </w:rPr>
        <w:t xml:space="preserve"> </w:t>
      </w:r>
      <w:r w:rsidR="00964CC5">
        <w:rPr>
          <w:rFonts w:ascii="Arial" w:hAnsi="Arial" w:cs="Arial"/>
          <w:snapToGrid w:val="0"/>
          <w:sz w:val="22"/>
          <w:szCs w:val="22"/>
        </w:rPr>
        <w:t>se ajusta a</w:t>
      </w:r>
      <w:r>
        <w:rPr>
          <w:rFonts w:ascii="Arial" w:hAnsi="Arial" w:cs="Arial"/>
          <w:snapToGrid w:val="0"/>
          <w:sz w:val="22"/>
          <w:szCs w:val="22"/>
        </w:rPr>
        <w:t xml:space="preserve"> las características de las cooperativas y </w:t>
      </w:r>
      <w:r w:rsidR="00964CC5">
        <w:rPr>
          <w:rFonts w:ascii="Arial" w:hAnsi="Arial" w:cs="Arial"/>
          <w:snapToGrid w:val="0"/>
          <w:sz w:val="22"/>
          <w:szCs w:val="22"/>
        </w:rPr>
        <w:t xml:space="preserve">demás </w:t>
      </w:r>
      <w:r>
        <w:rPr>
          <w:rFonts w:ascii="Arial" w:hAnsi="Arial" w:cs="Arial"/>
          <w:snapToGrid w:val="0"/>
          <w:sz w:val="22"/>
          <w:szCs w:val="22"/>
        </w:rPr>
        <w:t xml:space="preserve">organizaciones de la economía solidaria descritas en los artículos 4 y 5 de la Ley 79 de 1998 y el artículo 6 de la Ley 454 de 1998, </w:t>
      </w:r>
      <w:r w:rsidR="00964CC5">
        <w:rPr>
          <w:rFonts w:ascii="Arial" w:hAnsi="Arial" w:cs="Arial"/>
          <w:snapToGrid w:val="0"/>
          <w:sz w:val="22"/>
          <w:szCs w:val="22"/>
        </w:rPr>
        <w:t xml:space="preserve">en donde resaltamos la </w:t>
      </w:r>
      <w:proofErr w:type="spellStart"/>
      <w:r>
        <w:rPr>
          <w:rFonts w:ascii="Arial" w:hAnsi="Arial" w:cs="Arial"/>
          <w:snapToGrid w:val="0"/>
          <w:sz w:val="22"/>
          <w:szCs w:val="22"/>
        </w:rPr>
        <w:t>irrepartibilidad</w:t>
      </w:r>
      <w:proofErr w:type="spellEnd"/>
      <w:r>
        <w:rPr>
          <w:rFonts w:ascii="Arial" w:hAnsi="Arial" w:cs="Arial"/>
          <w:snapToGrid w:val="0"/>
          <w:sz w:val="22"/>
          <w:szCs w:val="22"/>
        </w:rPr>
        <w:t xml:space="preserve"> de las res</w:t>
      </w:r>
      <w:r w:rsidR="00964CC5">
        <w:rPr>
          <w:rFonts w:ascii="Arial" w:hAnsi="Arial" w:cs="Arial"/>
          <w:snapToGrid w:val="0"/>
          <w:sz w:val="22"/>
          <w:szCs w:val="22"/>
        </w:rPr>
        <w:t>ervas sociales y su destinación entre los asociados.</w:t>
      </w:r>
    </w:p>
    <w:p w:rsidR="00A725F2" w:rsidRPr="00661A2F" w:rsidRDefault="00A725F2" w:rsidP="00A725F2">
      <w:pPr>
        <w:tabs>
          <w:tab w:val="left" w:pos="1725"/>
        </w:tabs>
        <w:ind w:right="18"/>
        <w:jc w:val="both"/>
        <w:rPr>
          <w:rFonts w:ascii="Arial" w:hAnsi="Arial" w:cs="Arial"/>
          <w:sz w:val="22"/>
          <w:szCs w:val="22"/>
        </w:rPr>
      </w:pPr>
    </w:p>
    <w:p w:rsidR="00A725F2" w:rsidRPr="00661A2F" w:rsidRDefault="00964CC5" w:rsidP="00A725F2">
      <w:pPr>
        <w:tabs>
          <w:tab w:val="left" w:pos="1725"/>
        </w:tabs>
        <w:ind w:right="18"/>
        <w:jc w:val="both"/>
        <w:rPr>
          <w:rFonts w:ascii="Arial" w:hAnsi="Arial" w:cs="Arial"/>
          <w:bCs/>
          <w:sz w:val="22"/>
          <w:szCs w:val="22"/>
        </w:rPr>
      </w:pPr>
      <w:r>
        <w:rPr>
          <w:rFonts w:ascii="Arial" w:hAnsi="Arial" w:cs="Arial"/>
          <w:sz w:val="22"/>
          <w:szCs w:val="22"/>
        </w:rPr>
        <w:t>E</w:t>
      </w:r>
      <w:r w:rsidR="00A725F2" w:rsidRPr="00661A2F">
        <w:rPr>
          <w:rFonts w:ascii="Arial" w:hAnsi="Arial" w:cs="Arial"/>
          <w:sz w:val="22"/>
          <w:szCs w:val="22"/>
        </w:rPr>
        <w:t xml:space="preserve">ste criterio ha sido compartido por el </w:t>
      </w:r>
      <w:r w:rsidR="00A725F2">
        <w:rPr>
          <w:rFonts w:ascii="Arial" w:hAnsi="Arial" w:cs="Arial"/>
          <w:sz w:val="22"/>
          <w:szCs w:val="22"/>
        </w:rPr>
        <w:t xml:space="preserve">H. </w:t>
      </w:r>
      <w:r w:rsidR="00A725F2" w:rsidRPr="00661A2F">
        <w:rPr>
          <w:rFonts w:ascii="Arial" w:hAnsi="Arial" w:cs="Arial"/>
          <w:sz w:val="22"/>
          <w:szCs w:val="22"/>
        </w:rPr>
        <w:t xml:space="preserve">Consejo de Estado en la Sala de </w:t>
      </w:r>
      <w:r w:rsidR="00A725F2">
        <w:rPr>
          <w:rFonts w:ascii="Arial" w:hAnsi="Arial" w:cs="Arial"/>
          <w:sz w:val="22"/>
          <w:szCs w:val="22"/>
        </w:rPr>
        <w:t>lo Contencioso Administrativo, Sección P</w:t>
      </w:r>
      <w:r w:rsidR="00A725F2" w:rsidRPr="00661A2F">
        <w:rPr>
          <w:rFonts w:ascii="Arial" w:hAnsi="Arial" w:cs="Arial"/>
          <w:sz w:val="22"/>
          <w:szCs w:val="22"/>
        </w:rPr>
        <w:t xml:space="preserve">rimera, Magistrado Ponente Rafael </w:t>
      </w:r>
      <w:r w:rsidR="00A725F2" w:rsidRPr="00661A2F">
        <w:rPr>
          <w:rFonts w:ascii="Arial" w:hAnsi="Arial" w:cs="Arial"/>
          <w:bCs/>
          <w:sz w:val="22"/>
          <w:szCs w:val="22"/>
        </w:rPr>
        <w:t xml:space="preserve">E. </w:t>
      </w:r>
      <w:proofErr w:type="spellStart"/>
      <w:r w:rsidR="00A725F2" w:rsidRPr="00661A2F">
        <w:rPr>
          <w:rFonts w:ascii="Arial" w:hAnsi="Arial" w:cs="Arial"/>
          <w:bCs/>
          <w:sz w:val="22"/>
          <w:szCs w:val="22"/>
        </w:rPr>
        <w:t>Ostau</w:t>
      </w:r>
      <w:proofErr w:type="spellEnd"/>
      <w:r w:rsidR="00A725F2" w:rsidRPr="00661A2F">
        <w:rPr>
          <w:rFonts w:ascii="Arial" w:hAnsi="Arial" w:cs="Arial"/>
          <w:bCs/>
          <w:sz w:val="22"/>
          <w:szCs w:val="22"/>
        </w:rPr>
        <w:t xml:space="preserve"> De </w:t>
      </w:r>
      <w:proofErr w:type="spellStart"/>
      <w:r w:rsidR="00A725F2" w:rsidRPr="00661A2F">
        <w:rPr>
          <w:rFonts w:ascii="Arial" w:hAnsi="Arial" w:cs="Arial"/>
          <w:bCs/>
          <w:sz w:val="22"/>
          <w:szCs w:val="22"/>
        </w:rPr>
        <w:t>Lafont</w:t>
      </w:r>
      <w:proofErr w:type="spellEnd"/>
      <w:r w:rsidR="00A725F2" w:rsidRPr="00661A2F">
        <w:rPr>
          <w:rFonts w:ascii="Arial" w:hAnsi="Arial" w:cs="Arial"/>
          <w:bCs/>
          <w:sz w:val="22"/>
          <w:szCs w:val="22"/>
        </w:rPr>
        <w:t xml:space="preserve"> </w:t>
      </w:r>
      <w:proofErr w:type="spellStart"/>
      <w:r w:rsidR="00A725F2" w:rsidRPr="00661A2F">
        <w:rPr>
          <w:rFonts w:ascii="Arial" w:hAnsi="Arial" w:cs="Arial"/>
          <w:bCs/>
          <w:sz w:val="22"/>
          <w:szCs w:val="22"/>
        </w:rPr>
        <w:t>Pianeta</w:t>
      </w:r>
      <w:proofErr w:type="spellEnd"/>
      <w:r w:rsidR="00A725F2" w:rsidRPr="00661A2F">
        <w:rPr>
          <w:rFonts w:ascii="Arial" w:hAnsi="Arial" w:cs="Arial"/>
          <w:bCs/>
          <w:sz w:val="22"/>
          <w:szCs w:val="22"/>
        </w:rPr>
        <w:t xml:space="preserve">, por medio de la sentencia del 18 de agosto de 2011, en la cual se decidió la validez del Plan Único de Cuentas expedido por la Superintendencia Nacional de Salud para sus entidades vigiladas de carácter </w:t>
      </w:r>
      <w:r w:rsidR="00A725F2">
        <w:rPr>
          <w:rFonts w:ascii="Arial" w:hAnsi="Arial" w:cs="Arial"/>
          <w:bCs/>
          <w:sz w:val="22"/>
          <w:szCs w:val="22"/>
        </w:rPr>
        <w:t>solidario</w:t>
      </w:r>
      <w:r w:rsidR="00A725F2" w:rsidRPr="00661A2F">
        <w:rPr>
          <w:rFonts w:ascii="Arial" w:hAnsi="Arial" w:cs="Arial"/>
          <w:bCs/>
          <w:sz w:val="22"/>
          <w:szCs w:val="22"/>
        </w:rPr>
        <w:t>, y en donde el actor pretendía la nulidad de la prohibición de prever en el presupuesto con cargo al ejercicio anual, para incrementar el fondo de revalorización de aportes.</w:t>
      </w:r>
    </w:p>
    <w:p w:rsidR="00A725F2" w:rsidRDefault="00A725F2" w:rsidP="00A725F2">
      <w:pPr>
        <w:tabs>
          <w:tab w:val="left" w:pos="1725"/>
        </w:tabs>
        <w:ind w:right="18"/>
        <w:jc w:val="both"/>
        <w:rPr>
          <w:rFonts w:ascii="Arial" w:hAnsi="Arial" w:cs="Arial"/>
          <w:bCs/>
          <w:sz w:val="22"/>
          <w:szCs w:val="22"/>
        </w:rPr>
      </w:pPr>
    </w:p>
    <w:p w:rsidR="00A725F2" w:rsidRPr="00661A2F" w:rsidRDefault="00A725F2" w:rsidP="00A725F2">
      <w:pPr>
        <w:tabs>
          <w:tab w:val="left" w:pos="1725"/>
        </w:tabs>
        <w:ind w:right="18"/>
        <w:jc w:val="both"/>
        <w:rPr>
          <w:rFonts w:ascii="Arial" w:hAnsi="Arial" w:cs="Arial"/>
          <w:bCs/>
          <w:sz w:val="22"/>
          <w:szCs w:val="22"/>
        </w:rPr>
      </w:pPr>
    </w:p>
    <w:p w:rsidR="00A725F2" w:rsidRPr="00661A2F" w:rsidRDefault="00A725F2" w:rsidP="00A725F2">
      <w:pPr>
        <w:tabs>
          <w:tab w:val="left" w:pos="1725"/>
        </w:tabs>
        <w:ind w:right="18"/>
        <w:jc w:val="both"/>
        <w:rPr>
          <w:rFonts w:ascii="Arial" w:hAnsi="Arial" w:cs="Arial"/>
          <w:bCs/>
          <w:sz w:val="22"/>
          <w:szCs w:val="22"/>
        </w:rPr>
      </w:pPr>
      <w:r w:rsidRPr="00661A2F">
        <w:rPr>
          <w:rFonts w:ascii="Arial" w:hAnsi="Arial" w:cs="Arial"/>
          <w:bCs/>
          <w:sz w:val="22"/>
          <w:szCs w:val="22"/>
        </w:rPr>
        <w:t>Nos permitimos citar algunos apartes de esta sentencia:</w:t>
      </w:r>
    </w:p>
    <w:p w:rsidR="00A725F2" w:rsidRPr="00661A2F" w:rsidRDefault="00A725F2" w:rsidP="00A725F2">
      <w:pPr>
        <w:tabs>
          <w:tab w:val="left" w:pos="1725"/>
        </w:tabs>
        <w:ind w:right="18"/>
        <w:jc w:val="both"/>
        <w:rPr>
          <w:rFonts w:ascii="Arial" w:hAnsi="Arial" w:cs="Arial"/>
          <w:bCs/>
          <w:sz w:val="22"/>
          <w:szCs w:val="22"/>
        </w:rPr>
      </w:pPr>
    </w:p>
    <w:p w:rsidR="00A725F2" w:rsidRPr="00661A2F" w:rsidRDefault="00A725F2" w:rsidP="00A725F2">
      <w:pPr>
        <w:tabs>
          <w:tab w:val="left" w:pos="1725"/>
        </w:tabs>
        <w:ind w:right="18"/>
        <w:jc w:val="both"/>
        <w:rPr>
          <w:rFonts w:ascii="Arial" w:hAnsi="Arial" w:cs="Arial"/>
          <w:bCs/>
          <w:sz w:val="20"/>
          <w:szCs w:val="20"/>
        </w:rPr>
      </w:pPr>
      <w:r>
        <w:rPr>
          <w:rFonts w:ascii="Arial" w:hAnsi="Arial" w:cs="Arial"/>
          <w:bCs/>
          <w:sz w:val="20"/>
          <w:szCs w:val="20"/>
        </w:rPr>
        <w:t>“</w:t>
      </w:r>
      <w:r w:rsidRPr="00661A2F">
        <w:rPr>
          <w:rFonts w:ascii="Arial" w:hAnsi="Arial" w:cs="Arial"/>
          <w:bCs/>
          <w:sz w:val="20"/>
          <w:szCs w:val="20"/>
        </w:rPr>
        <w:t>…</w:t>
      </w:r>
    </w:p>
    <w:p w:rsidR="00A725F2" w:rsidRPr="00661A2F" w:rsidRDefault="00A725F2" w:rsidP="00A725F2">
      <w:pPr>
        <w:jc w:val="both"/>
        <w:rPr>
          <w:rFonts w:ascii="Arial" w:hAnsi="Arial" w:cs="Arial"/>
          <w:i/>
          <w:sz w:val="20"/>
          <w:szCs w:val="20"/>
        </w:rPr>
      </w:pPr>
      <w:r w:rsidRPr="00661A2F">
        <w:rPr>
          <w:rFonts w:ascii="Arial" w:hAnsi="Arial" w:cs="Arial"/>
          <w:i/>
          <w:sz w:val="20"/>
          <w:szCs w:val="20"/>
        </w:rPr>
        <w:t xml:space="preserve">No es cierto, como se aduce en la demanda, que la Resolución 1804 de 2004 vulnere esa disposición legal al impedir a las entidades del sector cooperativo constituir reservas o fondos condicionándolas a que las mismas se registren con cargo a los excedentes anuales, cuando debieran hacerse con cargo al gasto, pues, en ninguno de sus apartes el </w:t>
      </w:r>
      <w:proofErr w:type="spellStart"/>
      <w:r w:rsidRPr="00661A2F">
        <w:rPr>
          <w:rFonts w:ascii="Arial" w:hAnsi="Arial" w:cs="Arial"/>
          <w:i/>
          <w:sz w:val="20"/>
          <w:szCs w:val="20"/>
        </w:rPr>
        <w:t>pluricitado</w:t>
      </w:r>
      <w:proofErr w:type="spellEnd"/>
      <w:r w:rsidRPr="00661A2F">
        <w:rPr>
          <w:rFonts w:ascii="Arial" w:hAnsi="Arial" w:cs="Arial"/>
          <w:i/>
          <w:sz w:val="20"/>
          <w:szCs w:val="20"/>
        </w:rPr>
        <w:t xml:space="preserve"> artículo 56 dispone expresamente esto último y no se deduce tampoco de su contenido, y no puede entenderse que cuando en esta norma superior se dice que los fondos y reservas se registran “con cargo al ejercicio anual” esté significando con ello que debe hacerse “con cargo al gasto”, pues tales conceptos no son sinónimos en materia contable.</w:t>
      </w:r>
    </w:p>
    <w:p w:rsidR="00A725F2" w:rsidRPr="00661A2F" w:rsidRDefault="00A725F2" w:rsidP="00A725F2">
      <w:pPr>
        <w:tabs>
          <w:tab w:val="left" w:pos="1725"/>
        </w:tabs>
        <w:ind w:right="18"/>
        <w:jc w:val="both"/>
        <w:rPr>
          <w:rFonts w:ascii="Arial" w:hAnsi="Arial" w:cs="Arial"/>
          <w:bCs/>
          <w:i/>
          <w:sz w:val="20"/>
          <w:szCs w:val="20"/>
        </w:rPr>
      </w:pPr>
    </w:p>
    <w:p w:rsidR="00A725F2" w:rsidRPr="00661A2F" w:rsidRDefault="00A725F2" w:rsidP="00A725F2">
      <w:pPr>
        <w:tabs>
          <w:tab w:val="left" w:pos="1725"/>
        </w:tabs>
        <w:ind w:right="18"/>
        <w:jc w:val="both"/>
        <w:rPr>
          <w:rFonts w:ascii="Arial" w:hAnsi="Arial" w:cs="Arial"/>
          <w:i/>
          <w:sz w:val="20"/>
          <w:szCs w:val="20"/>
        </w:rPr>
      </w:pPr>
      <w:r w:rsidRPr="00661A2F">
        <w:rPr>
          <w:rFonts w:ascii="Arial" w:hAnsi="Arial" w:cs="Arial"/>
          <w:i/>
          <w:sz w:val="20"/>
          <w:szCs w:val="20"/>
        </w:rPr>
        <w:t>Además debe tenerse en cuenta que según el artículo 87 del Decreto 2469 de 1993 “</w:t>
      </w:r>
      <w:r w:rsidRPr="00661A2F">
        <w:rPr>
          <w:rFonts w:ascii="Arial" w:hAnsi="Arial" w:cs="Arial"/>
          <w:bCs/>
          <w:i/>
          <w:sz w:val="20"/>
          <w:szCs w:val="20"/>
        </w:rPr>
        <w:t xml:space="preserve">por el cual se reglamenta la contabilidad en general y se expiden los principios o normas de contabilidad generalmente aceptados en Colombia” …, </w:t>
      </w:r>
      <w:r w:rsidRPr="00661A2F">
        <w:rPr>
          <w:rFonts w:ascii="Arial" w:hAnsi="Arial" w:cs="Arial"/>
          <w:i/>
          <w:sz w:val="20"/>
          <w:szCs w:val="20"/>
        </w:rPr>
        <w:t xml:space="preserve">las reservas o fondos patrimoniales representan recursos retenidos por el ente económico, y son tomados de sus utilidades o excedentes, con el fin de satisfacer requerimientos legales, estatutarios u ocasionales, y no de los gastos, los cuales, según el artículo 40 ibídem, “representan flujos de salida de recursos, en forma de disminuciones del activo o incrementos del pasivo o una combinación de ambos, que generan disminuciones del patrimonio, incurridos en las actividades de administración, comercialización, investigación y financiación, realizadas durante un período, que </w:t>
      </w:r>
      <w:r w:rsidRPr="00661A2F">
        <w:rPr>
          <w:rFonts w:ascii="Arial" w:hAnsi="Arial" w:cs="Arial"/>
          <w:i/>
          <w:sz w:val="20"/>
          <w:szCs w:val="20"/>
          <w:u w:val="single"/>
        </w:rPr>
        <w:t>no provienen de los retiros de capital o de utilidades o excedentes</w:t>
      </w:r>
      <w:r w:rsidRPr="00661A2F">
        <w:rPr>
          <w:rFonts w:ascii="Arial" w:hAnsi="Arial" w:cs="Arial"/>
          <w:i/>
          <w:sz w:val="20"/>
          <w:szCs w:val="20"/>
        </w:rPr>
        <w:t>”, de tal suerte que, no es posible registrar contablemente un hecho económico como la constitución o el incremento progresivo de reservas o fondos patrimoniales en la cuenta de otro hecho económico distinto como los gastos, máxime cuando de manera clara se dispone que éstos últimos no provienen de los primeros. Igualmente, de conformidad con el citado Decreto, el patrimonio, del cual hacen parte las reservas o fondos patrimoniales, es un elemento de los estados financieros distinto de los gastos (art. 34).</w:t>
      </w:r>
      <w:r>
        <w:rPr>
          <w:rFonts w:ascii="Arial" w:hAnsi="Arial" w:cs="Arial"/>
          <w:i/>
          <w:sz w:val="20"/>
          <w:szCs w:val="20"/>
        </w:rPr>
        <w:t>”</w:t>
      </w:r>
    </w:p>
    <w:p w:rsidR="00A725F2" w:rsidRDefault="00A725F2" w:rsidP="00A725F2">
      <w:pPr>
        <w:tabs>
          <w:tab w:val="left" w:pos="1725"/>
        </w:tabs>
        <w:ind w:right="18"/>
        <w:jc w:val="both"/>
        <w:rPr>
          <w:rFonts w:ascii="Arial" w:hAnsi="Arial" w:cs="Arial"/>
          <w:i/>
          <w:sz w:val="22"/>
          <w:szCs w:val="22"/>
        </w:rPr>
      </w:pPr>
    </w:p>
    <w:p w:rsidR="00A725F2" w:rsidRPr="0051452A" w:rsidRDefault="00A725F2" w:rsidP="00A725F2">
      <w:pPr>
        <w:tabs>
          <w:tab w:val="left" w:pos="1725"/>
        </w:tabs>
        <w:ind w:right="18"/>
        <w:jc w:val="both"/>
        <w:rPr>
          <w:rFonts w:ascii="Arial" w:hAnsi="Arial" w:cs="Arial"/>
          <w:i/>
          <w:sz w:val="22"/>
          <w:szCs w:val="22"/>
        </w:rPr>
      </w:pPr>
    </w:p>
    <w:p w:rsidR="00A725F2" w:rsidRPr="00661A2F" w:rsidRDefault="00A725F2" w:rsidP="00A725F2">
      <w:pPr>
        <w:tabs>
          <w:tab w:val="left" w:pos="1725"/>
        </w:tabs>
        <w:ind w:right="18"/>
        <w:jc w:val="both"/>
        <w:rPr>
          <w:rFonts w:ascii="Arial" w:hAnsi="Arial" w:cs="Arial"/>
          <w:sz w:val="22"/>
          <w:szCs w:val="22"/>
        </w:rPr>
      </w:pPr>
      <w:r w:rsidRPr="00661A2F">
        <w:rPr>
          <w:rFonts w:ascii="Arial" w:hAnsi="Arial" w:cs="Arial"/>
          <w:sz w:val="22"/>
          <w:szCs w:val="22"/>
        </w:rPr>
        <w:t>Y el alto tribunal de decisión continúa su argumentación expresando:</w:t>
      </w:r>
    </w:p>
    <w:p w:rsidR="00A725F2" w:rsidRDefault="00A725F2" w:rsidP="00A725F2">
      <w:pPr>
        <w:tabs>
          <w:tab w:val="left" w:pos="1725"/>
        </w:tabs>
        <w:ind w:right="18"/>
        <w:jc w:val="both"/>
        <w:rPr>
          <w:rFonts w:ascii="Arial" w:hAnsi="Arial" w:cs="Arial"/>
          <w:i/>
          <w:sz w:val="20"/>
          <w:szCs w:val="20"/>
        </w:rPr>
      </w:pPr>
    </w:p>
    <w:p w:rsidR="00A725F2" w:rsidRPr="00661A2F" w:rsidRDefault="00A725F2" w:rsidP="00A725F2">
      <w:pPr>
        <w:tabs>
          <w:tab w:val="left" w:pos="1725"/>
        </w:tabs>
        <w:ind w:right="18"/>
        <w:jc w:val="both"/>
        <w:rPr>
          <w:rFonts w:ascii="Arial" w:hAnsi="Arial" w:cs="Arial"/>
          <w:i/>
          <w:sz w:val="20"/>
          <w:szCs w:val="20"/>
        </w:rPr>
      </w:pPr>
    </w:p>
    <w:p w:rsidR="00A725F2" w:rsidRPr="00661A2F" w:rsidRDefault="00A725F2" w:rsidP="00A725F2">
      <w:pPr>
        <w:jc w:val="both"/>
        <w:rPr>
          <w:rFonts w:ascii="Arial" w:hAnsi="Arial" w:cs="Arial"/>
          <w:i/>
          <w:sz w:val="20"/>
          <w:szCs w:val="20"/>
        </w:rPr>
      </w:pPr>
      <w:r>
        <w:rPr>
          <w:rFonts w:ascii="Arial" w:hAnsi="Arial" w:cs="Arial"/>
          <w:i/>
          <w:sz w:val="20"/>
          <w:szCs w:val="20"/>
        </w:rPr>
        <w:t xml:space="preserve">“… </w:t>
      </w:r>
      <w:r w:rsidRPr="00661A2F">
        <w:rPr>
          <w:rFonts w:ascii="Arial" w:hAnsi="Arial" w:cs="Arial"/>
          <w:i/>
          <w:sz w:val="20"/>
          <w:szCs w:val="20"/>
        </w:rPr>
        <w:t>las reservas en ningún caso son imputables al gasto, sin que tal disposición, se reitera, vulnere el artículo 56 de la Ley 79 de 1988, el cual de manera expresa o tácita no se refiere a la cuenta en la que contablemente deben registrase las reservas o fondos patrimoniales, limitándose a autorizar la constitución de dichas reservas o fondos y su incremento progresivo con cargo al ejercicio anual.</w:t>
      </w:r>
    </w:p>
    <w:p w:rsidR="00A725F2" w:rsidRPr="00661A2F" w:rsidRDefault="00A725F2" w:rsidP="00A725F2">
      <w:pPr>
        <w:jc w:val="both"/>
        <w:rPr>
          <w:rFonts w:ascii="Arial" w:hAnsi="Arial" w:cs="Arial"/>
          <w:i/>
          <w:sz w:val="20"/>
          <w:szCs w:val="20"/>
        </w:rPr>
      </w:pPr>
    </w:p>
    <w:p w:rsidR="00A725F2" w:rsidRPr="00661A2F" w:rsidRDefault="00A725F2" w:rsidP="00A725F2">
      <w:pPr>
        <w:jc w:val="both"/>
        <w:rPr>
          <w:rFonts w:ascii="Arial" w:hAnsi="Arial" w:cs="Arial"/>
          <w:i/>
          <w:sz w:val="20"/>
          <w:szCs w:val="20"/>
        </w:rPr>
      </w:pPr>
      <w:r w:rsidRPr="00661A2F">
        <w:rPr>
          <w:rFonts w:ascii="Arial" w:hAnsi="Arial" w:cs="Arial"/>
          <w:i/>
          <w:sz w:val="20"/>
          <w:szCs w:val="20"/>
        </w:rPr>
        <w:t>Ahora bien, no debe perderse de vista que las reservas o fondos provienen de las utilidades o excedentes, los cuales se establecen solo hasta el final del ejercicio contable, que se cierra el 31 de diciembre, siendo por ello evidente que su constitución o incremento progresivo deba hacerse en el año inmediatamente siguiente, cuando la Asamblea General haga el examen respectivo de los estados financieros.</w:t>
      </w:r>
    </w:p>
    <w:p w:rsidR="00A725F2" w:rsidRPr="00661A2F" w:rsidRDefault="00A725F2" w:rsidP="00A725F2">
      <w:pPr>
        <w:jc w:val="both"/>
        <w:rPr>
          <w:rFonts w:ascii="Arial" w:hAnsi="Arial" w:cs="Arial"/>
          <w:i/>
          <w:sz w:val="20"/>
          <w:szCs w:val="20"/>
        </w:rPr>
      </w:pPr>
    </w:p>
    <w:p w:rsidR="00A725F2" w:rsidRPr="00661A2F" w:rsidRDefault="00A725F2" w:rsidP="00A725F2">
      <w:pPr>
        <w:ind w:left="9"/>
        <w:jc w:val="both"/>
        <w:rPr>
          <w:rFonts w:ascii="Arial" w:hAnsi="Arial" w:cs="Arial"/>
          <w:i/>
          <w:sz w:val="20"/>
          <w:szCs w:val="20"/>
        </w:rPr>
      </w:pPr>
      <w:r w:rsidRPr="00661A2F">
        <w:rPr>
          <w:rFonts w:ascii="Arial" w:hAnsi="Arial" w:cs="Arial"/>
          <w:i/>
          <w:sz w:val="20"/>
          <w:szCs w:val="20"/>
        </w:rPr>
        <w:t>En tercer lugar, contrario  a lo esgrimido por el actor, es claro que con cargo a los excedentes, luego de efectuadas las destinaciones mínimas a que se refiere la primera parte del artículo 54 de la Ley 79 de 1988, las cooperativas pueden hacer uso de la facultad allí prevista y afectar con el remanente todos o cualquiera de los destinos previstos en los numerales 1°, 2º, 3° y 4°, o por decisión de la Asamblea General, conforme al artículo 56 ibídem, crear nuevos fondos o reservas con fines determinados, o presupuestar y registrar incrementos progresivos en los fondos o reservas.</w:t>
      </w:r>
      <w:r>
        <w:rPr>
          <w:rFonts w:ascii="Arial" w:hAnsi="Arial" w:cs="Arial"/>
          <w:i/>
          <w:sz w:val="20"/>
          <w:szCs w:val="20"/>
        </w:rPr>
        <w:t>”</w:t>
      </w:r>
    </w:p>
    <w:p w:rsidR="00A725F2" w:rsidRPr="00661A2F" w:rsidRDefault="00A725F2" w:rsidP="00A725F2">
      <w:pPr>
        <w:tabs>
          <w:tab w:val="left" w:pos="1725"/>
        </w:tabs>
        <w:ind w:right="18"/>
        <w:jc w:val="both"/>
        <w:rPr>
          <w:rFonts w:ascii="Arial" w:hAnsi="Arial" w:cs="Arial"/>
          <w:i/>
          <w:sz w:val="20"/>
          <w:szCs w:val="20"/>
        </w:rPr>
      </w:pPr>
    </w:p>
    <w:p w:rsidR="00A725F2" w:rsidRPr="00661A2F" w:rsidRDefault="00A725F2" w:rsidP="00A725F2">
      <w:pPr>
        <w:tabs>
          <w:tab w:val="left" w:pos="1725"/>
        </w:tabs>
        <w:ind w:right="18"/>
        <w:jc w:val="both"/>
        <w:rPr>
          <w:rFonts w:ascii="Arial" w:hAnsi="Arial" w:cs="Arial"/>
          <w:bCs/>
          <w:sz w:val="22"/>
          <w:szCs w:val="22"/>
        </w:rPr>
      </w:pPr>
    </w:p>
    <w:p w:rsidR="00A725F2" w:rsidRPr="00661A2F" w:rsidRDefault="00A725F2" w:rsidP="00A725F2">
      <w:pPr>
        <w:tabs>
          <w:tab w:val="left" w:pos="1725"/>
        </w:tabs>
        <w:ind w:right="18"/>
        <w:jc w:val="both"/>
        <w:rPr>
          <w:rFonts w:ascii="Arial" w:hAnsi="Arial" w:cs="Arial"/>
          <w:snapToGrid w:val="0"/>
          <w:sz w:val="22"/>
          <w:szCs w:val="22"/>
        </w:rPr>
      </w:pPr>
      <w:r w:rsidRPr="00661A2F">
        <w:rPr>
          <w:rFonts w:ascii="Arial" w:hAnsi="Arial" w:cs="Arial"/>
          <w:bCs/>
          <w:sz w:val="22"/>
          <w:szCs w:val="22"/>
        </w:rPr>
        <w:t>Con base en los argumentos dados por esta oficina y teniendo como referente jurisprudencial el concepto del Consejo de Estado</w:t>
      </w:r>
      <w:r w:rsidR="003E28C6">
        <w:rPr>
          <w:rFonts w:ascii="Arial" w:hAnsi="Arial" w:cs="Arial"/>
          <w:bCs/>
          <w:sz w:val="22"/>
          <w:szCs w:val="22"/>
        </w:rPr>
        <w:t xml:space="preserve"> citado</w:t>
      </w:r>
      <w:r w:rsidRPr="00661A2F">
        <w:rPr>
          <w:rFonts w:ascii="Arial" w:hAnsi="Arial" w:cs="Arial"/>
          <w:bCs/>
          <w:sz w:val="22"/>
          <w:szCs w:val="22"/>
        </w:rPr>
        <w:t xml:space="preserve">, </w:t>
      </w:r>
      <w:r w:rsidR="00964CC5">
        <w:rPr>
          <w:rFonts w:ascii="Arial" w:hAnsi="Arial" w:cs="Arial"/>
          <w:bCs/>
          <w:sz w:val="22"/>
          <w:szCs w:val="22"/>
        </w:rPr>
        <w:t>los fondos sociales  de carácter patrimonial como son el de revalorización de aportes y de amortización de aportes, únicamente pueden constituirse e incrementarse con la destinación de excedentes del ejercicio anual en cumplimiento del artículo 54 de la ley 79 de 1988 y no es viable el incremento de fondos de carácter patrimonial con cargo o vía el presupuesto anual de las organizaciones de la economía solidaria.</w:t>
      </w:r>
    </w:p>
    <w:p w:rsidR="00A725F2" w:rsidRDefault="00A725F2" w:rsidP="00A725F2">
      <w:pPr>
        <w:tabs>
          <w:tab w:val="left" w:pos="1725"/>
        </w:tabs>
        <w:ind w:right="18"/>
        <w:jc w:val="both"/>
        <w:rPr>
          <w:rFonts w:ascii="Arial" w:hAnsi="Arial" w:cs="Arial"/>
          <w:snapToGrid w:val="0"/>
          <w:sz w:val="22"/>
          <w:szCs w:val="22"/>
        </w:rPr>
      </w:pPr>
    </w:p>
    <w:p w:rsidR="00634D9F" w:rsidRPr="00661A2F" w:rsidRDefault="00634D9F" w:rsidP="00A725F2">
      <w:pPr>
        <w:tabs>
          <w:tab w:val="left" w:pos="1725"/>
        </w:tabs>
        <w:ind w:right="18"/>
        <w:jc w:val="both"/>
        <w:rPr>
          <w:rFonts w:ascii="Arial" w:hAnsi="Arial" w:cs="Arial"/>
          <w:snapToGrid w:val="0"/>
          <w:sz w:val="22"/>
          <w:szCs w:val="22"/>
        </w:rPr>
      </w:pPr>
    </w:p>
    <w:p w:rsidR="00A725F2" w:rsidRDefault="00A725F2" w:rsidP="00A725F2">
      <w:pPr>
        <w:tabs>
          <w:tab w:val="left" w:pos="1725"/>
        </w:tabs>
        <w:ind w:right="18"/>
        <w:jc w:val="both"/>
        <w:rPr>
          <w:rFonts w:ascii="Arial" w:hAnsi="Arial" w:cs="Arial"/>
          <w:snapToGrid w:val="0"/>
          <w:sz w:val="22"/>
          <w:szCs w:val="22"/>
        </w:rPr>
      </w:pPr>
      <w:r>
        <w:rPr>
          <w:rFonts w:ascii="Arial" w:hAnsi="Arial" w:cs="Arial"/>
          <w:snapToGrid w:val="0"/>
          <w:sz w:val="22"/>
          <w:szCs w:val="22"/>
        </w:rPr>
        <w:t xml:space="preserve">Se </w:t>
      </w:r>
      <w:r w:rsidRPr="00661A2F">
        <w:rPr>
          <w:rFonts w:ascii="Arial" w:hAnsi="Arial" w:cs="Arial"/>
          <w:snapToGrid w:val="0"/>
          <w:sz w:val="22"/>
          <w:szCs w:val="22"/>
        </w:rPr>
        <w:t>advier</w:t>
      </w:r>
      <w:r>
        <w:rPr>
          <w:rFonts w:ascii="Arial" w:hAnsi="Arial" w:cs="Arial"/>
          <w:snapToGrid w:val="0"/>
          <w:sz w:val="22"/>
          <w:szCs w:val="22"/>
        </w:rPr>
        <w:t>te</w:t>
      </w:r>
      <w:r w:rsidRPr="00661A2F">
        <w:rPr>
          <w:rFonts w:ascii="Arial" w:hAnsi="Arial" w:cs="Arial"/>
          <w:snapToGrid w:val="0"/>
          <w:sz w:val="22"/>
          <w:szCs w:val="22"/>
        </w:rPr>
        <w:t xml:space="preserve"> que </w:t>
      </w:r>
      <w:r>
        <w:rPr>
          <w:rFonts w:ascii="Arial" w:hAnsi="Arial" w:cs="Arial"/>
          <w:snapToGrid w:val="0"/>
          <w:sz w:val="22"/>
          <w:szCs w:val="22"/>
        </w:rPr>
        <w:t>el presente concepto s</w:t>
      </w:r>
      <w:r w:rsidRPr="00661A2F">
        <w:rPr>
          <w:rFonts w:ascii="Arial" w:hAnsi="Arial" w:cs="Arial"/>
          <w:snapToGrid w:val="0"/>
          <w:sz w:val="22"/>
          <w:szCs w:val="22"/>
        </w:rPr>
        <w:t>e emite bajo los parámetros del artículo 28 del Código de Procedimiento Administrativo y d</w:t>
      </w:r>
      <w:r>
        <w:rPr>
          <w:rFonts w:ascii="Arial" w:hAnsi="Arial" w:cs="Arial"/>
          <w:snapToGrid w:val="0"/>
          <w:sz w:val="22"/>
          <w:szCs w:val="22"/>
        </w:rPr>
        <w:t xml:space="preserve">e lo Contencioso Administrativo. </w:t>
      </w:r>
    </w:p>
    <w:p w:rsidR="00A725F2" w:rsidRPr="00661A2F" w:rsidRDefault="00A725F2" w:rsidP="00A725F2">
      <w:pPr>
        <w:tabs>
          <w:tab w:val="left" w:pos="1725"/>
        </w:tabs>
        <w:ind w:right="18"/>
        <w:jc w:val="both"/>
        <w:rPr>
          <w:rFonts w:ascii="Arial" w:hAnsi="Arial" w:cs="Arial"/>
          <w:sz w:val="22"/>
          <w:szCs w:val="22"/>
        </w:rPr>
      </w:pPr>
    </w:p>
    <w:p w:rsidR="00A725F2" w:rsidRPr="00661A2F" w:rsidRDefault="00A725F2" w:rsidP="00A725F2">
      <w:pPr>
        <w:pStyle w:val="Textoindependiente22"/>
        <w:widowControl w:val="0"/>
        <w:rPr>
          <w:snapToGrid w:val="0"/>
          <w:szCs w:val="22"/>
        </w:rPr>
      </w:pPr>
      <w:r>
        <w:rPr>
          <w:snapToGrid w:val="0"/>
          <w:szCs w:val="22"/>
        </w:rPr>
        <w:t>A</w:t>
      </w:r>
      <w:r w:rsidRPr="00661A2F">
        <w:rPr>
          <w:snapToGrid w:val="0"/>
          <w:szCs w:val="22"/>
        </w:rPr>
        <w:t xml:space="preserve">lgunos conceptos de interés general emitidos por esta Oficina, así como las circulares, resoluciones y toda la normatividad relacionada con el sector solidario la podrán consultar en nuestra página web </w:t>
      </w:r>
      <w:hyperlink r:id="rId8" w:history="1">
        <w:r w:rsidRPr="00661A2F">
          <w:rPr>
            <w:rStyle w:val="Hipervnculo"/>
            <w:snapToGrid w:val="0"/>
            <w:szCs w:val="22"/>
          </w:rPr>
          <w:t>www.supersolidaria.gov.co</w:t>
        </w:r>
      </w:hyperlink>
      <w:r w:rsidRPr="00661A2F">
        <w:rPr>
          <w:rStyle w:val="Hipervnculo"/>
          <w:snapToGrid w:val="0"/>
          <w:szCs w:val="22"/>
        </w:rPr>
        <w:t>.</w:t>
      </w:r>
    </w:p>
    <w:p w:rsidR="00A725F2" w:rsidRPr="00936747" w:rsidRDefault="00A725F2" w:rsidP="00A725F2">
      <w:pPr>
        <w:tabs>
          <w:tab w:val="left" w:pos="1725"/>
        </w:tabs>
        <w:ind w:right="18"/>
        <w:jc w:val="both"/>
        <w:rPr>
          <w:rFonts w:ascii="Arial" w:hAnsi="Arial" w:cs="Arial"/>
          <w:snapToGrid w:val="0"/>
          <w:sz w:val="22"/>
          <w:szCs w:val="22"/>
          <w:lang w:val="es-CO"/>
        </w:rPr>
      </w:pPr>
    </w:p>
    <w:p w:rsidR="00A725F2" w:rsidRPr="00B659EB" w:rsidRDefault="00A725F2" w:rsidP="00A725F2">
      <w:pPr>
        <w:tabs>
          <w:tab w:val="left" w:pos="1725"/>
        </w:tabs>
        <w:ind w:right="18"/>
        <w:jc w:val="both"/>
        <w:rPr>
          <w:rFonts w:ascii="Arial" w:hAnsi="Arial" w:cs="Arial"/>
          <w:snapToGrid w:val="0"/>
          <w:sz w:val="22"/>
          <w:szCs w:val="22"/>
        </w:rPr>
      </w:pPr>
    </w:p>
    <w:p w:rsidR="00A725F2" w:rsidRPr="00B659EB" w:rsidRDefault="00A725F2" w:rsidP="00A725F2">
      <w:pPr>
        <w:jc w:val="both"/>
        <w:rPr>
          <w:rFonts w:ascii="Arial" w:hAnsi="Arial" w:cs="Arial"/>
          <w:sz w:val="22"/>
          <w:szCs w:val="22"/>
        </w:rPr>
      </w:pPr>
    </w:p>
    <w:p w:rsidR="00A725F2" w:rsidRPr="00B659EB" w:rsidRDefault="00A725F2" w:rsidP="00A725F2">
      <w:pPr>
        <w:jc w:val="both"/>
        <w:rPr>
          <w:rFonts w:ascii="Arial" w:hAnsi="Arial" w:cs="Arial"/>
          <w:b/>
          <w:sz w:val="22"/>
          <w:szCs w:val="22"/>
        </w:rPr>
      </w:pPr>
      <w:r w:rsidRPr="00B659EB">
        <w:rPr>
          <w:rFonts w:ascii="Arial" w:hAnsi="Arial" w:cs="Arial"/>
          <w:b/>
          <w:sz w:val="22"/>
          <w:szCs w:val="22"/>
        </w:rPr>
        <w:t>OFICINA ASESORA JURIDICA</w:t>
      </w:r>
    </w:p>
    <w:p w:rsidR="004D75EA" w:rsidRPr="00A725F2" w:rsidRDefault="00A725F2" w:rsidP="00A725F2">
      <w:pPr>
        <w:jc w:val="both"/>
        <w:rPr>
          <w:rFonts w:ascii="Arial" w:hAnsi="Arial" w:cs="Arial"/>
          <w:b/>
          <w:sz w:val="22"/>
          <w:szCs w:val="22"/>
        </w:rPr>
      </w:pPr>
      <w:r>
        <w:rPr>
          <w:rFonts w:ascii="Arial" w:hAnsi="Arial" w:cs="Arial"/>
          <w:b/>
          <w:sz w:val="22"/>
          <w:szCs w:val="22"/>
        </w:rPr>
        <w:t>21/</w:t>
      </w:r>
      <w:r w:rsidRPr="00B659EB">
        <w:rPr>
          <w:rFonts w:ascii="Arial" w:hAnsi="Arial" w:cs="Arial"/>
          <w:b/>
          <w:sz w:val="22"/>
          <w:szCs w:val="22"/>
        </w:rPr>
        <w:t>0</w:t>
      </w:r>
      <w:r>
        <w:rPr>
          <w:rFonts w:ascii="Arial" w:hAnsi="Arial" w:cs="Arial"/>
          <w:b/>
          <w:sz w:val="22"/>
          <w:szCs w:val="22"/>
        </w:rPr>
        <w:t>8</w:t>
      </w:r>
      <w:r w:rsidRPr="00B659EB">
        <w:rPr>
          <w:rFonts w:ascii="Arial" w:hAnsi="Arial" w:cs="Arial"/>
          <w:b/>
          <w:sz w:val="22"/>
          <w:szCs w:val="22"/>
        </w:rPr>
        <w:t>/2014</w:t>
      </w:r>
    </w:p>
    <w:sectPr w:rsidR="004D75EA" w:rsidRPr="00A725F2" w:rsidSect="00601B4E">
      <w:headerReference w:type="even" r:id="rId9"/>
      <w:headerReference w:type="default" r:id="rId10"/>
      <w:footerReference w:type="even" r:id="rId11"/>
      <w:footerReference w:type="default" r:id="rId12"/>
      <w:headerReference w:type="first" r:id="rId13"/>
      <w:footerReference w:type="first" r:id="rId14"/>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DA" w:rsidRDefault="00EE13DA">
      <w:r>
        <w:separator/>
      </w:r>
    </w:p>
  </w:endnote>
  <w:endnote w:type="continuationSeparator" w:id="0">
    <w:p w:rsidR="00EE13DA" w:rsidRDefault="00EE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of9">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7D" w:rsidRDefault="007320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w:t>
      </w:r>
      <w:r>
        <w:rPr>
          <w:b w:val="0"/>
          <w:spacing w:val="28"/>
          <w:sz w:val="14"/>
          <w:szCs w:val="14"/>
          <w:lang w:val="es-CO"/>
        </w:rPr>
        <w:t>ÍA  SOLIDARIA</w:t>
      </w:r>
    </w:smartTag>
  </w:p>
  <w:p w:rsidR="0055620F" w:rsidRDefault="00D62C63">
    <w:pPr>
      <w:pStyle w:val="Piedepgina"/>
      <w:spacing w:line="40" w:lineRule="atLeast"/>
      <w:jc w:val="center"/>
    </w:pPr>
    <w:r>
      <w:rPr>
        <w:noProof/>
        <w:lang w:val="es-CO" w:eastAsia="es-CO"/>
      </w:rPr>
      <w:drawing>
        <wp:inline distT="0" distB="0" distL="0" distR="0">
          <wp:extent cx="4572000" cy="31750"/>
          <wp:effectExtent l="0" t="0" r="0" b="6350"/>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750"/>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D62C63" w:rsidP="008667EA">
    <w:pPr>
      <w:pStyle w:val="Piedepgina"/>
      <w:rPr>
        <w:sz w:val="16"/>
        <w:szCs w:val="16"/>
      </w:rPr>
    </w:pPr>
    <w:r>
      <w:rPr>
        <w:noProof/>
        <w:lang w:val="es-CO" w:eastAsia="es-CO"/>
      </w:rPr>
      <w:drawing>
        <wp:anchor distT="0" distB="0" distL="114300" distR="114300" simplePos="0" relativeHeight="251656192" behindDoc="0" locked="0" layoutInCell="1" allowOverlap="1">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572FE5">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D62C63"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extent cx="3933825" cy="31750"/>
          <wp:effectExtent l="0" t="0" r="9525" b="6350"/>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31750"/>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PBX (1) 4895009. FAX – Extensión 125 Línea gratuita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rPr>
        <w:rFonts w:ascii="Arial" w:hAnsi="Arial" w:cs="Arial"/>
        <w:sz w:val="15"/>
      </w:rPr>
    </w:pPr>
    <w:r>
      <w:rPr>
        <w:rFonts w:ascii="Arial" w:hAnsi="Arial" w:cs="Arial"/>
        <w:sz w:val="15"/>
      </w:rPr>
      <w:t>NIT: 830.053.043 5 Bogotá D.C., Colombia</w:t>
    </w:r>
  </w:p>
  <w:p w:rsidR="0055620F" w:rsidRPr="00622615" w:rsidRDefault="00B20F01" w:rsidP="00B20F01">
    <w:pPr>
      <w:pStyle w:val="Piedepgina"/>
      <w:tabs>
        <w:tab w:val="clear" w:pos="4252"/>
        <w:tab w:val="center" w:pos="993"/>
      </w:tabs>
      <w:ind w:left="-454" w:right="170"/>
      <w:jc w:val="center"/>
    </w:pPr>
    <w:r>
      <w:rPr>
        <w:rFonts w:ascii="Arial" w:hAnsi="Arial" w:cs="Arial"/>
        <w:sz w:val="12"/>
        <w:szCs w:val="12"/>
      </w:rPr>
      <w:t>V_OAPS-F</w:t>
    </w:r>
    <w:r w:rsidR="00572FE5">
      <w:rPr>
        <w:rFonts w:ascii="Arial" w:hAnsi="Arial" w:cs="Arial"/>
        <w:sz w:val="12"/>
        <w:szCs w:val="12"/>
      </w:rPr>
      <w:t>12814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DA" w:rsidRDefault="00EE13DA">
      <w:r>
        <w:separator/>
      </w:r>
    </w:p>
  </w:footnote>
  <w:footnote w:type="continuationSeparator" w:id="0">
    <w:p w:rsidR="00EE13DA" w:rsidRDefault="00EE1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7D" w:rsidRDefault="007320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ind w:right="-59"/>
      <w:rPr>
        <w:rFonts w:ascii="Arial" w:hAnsi="Arial" w:cs="Arial"/>
        <w:i/>
        <w:iCs/>
        <w:sz w:val="18"/>
      </w:rPr>
    </w:pPr>
    <w:r>
      <w:rPr>
        <w:rFonts w:ascii="Arial" w:hAnsi="Arial" w:cs="Arial"/>
        <w:bCs/>
        <w:i/>
        <w:iCs/>
        <w:sz w:val="18"/>
        <w:szCs w:val="18"/>
        <w:lang w:val="es-ES_tradnl"/>
      </w:rPr>
      <w:t xml:space="preserve">112  - </w:t>
    </w:r>
    <w:r>
      <w:rPr>
        <w:rFonts w:ascii="Arial" w:hAnsi="Arial" w:cs="Arial"/>
        <w:i/>
        <w:iCs/>
        <w:sz w:val="18"/>
        <w:szCs w:val="18"/>
        <w:lang w:val="es-MX"/>
      </w:rPr>
      <w:t>20141120245711</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BA73D4">
      <w:rPr>
        <w:rStyle w:val="Nmerodepgina"/>
        <w:rFonts w:ascii="Arial" w:hAnsi="Arial" w:cs="Arial"/>
        <w:i/>
        <w:iCs/>
        <w:noProof/>
        <w:sz w:val="18"/>
      </w:rPr>
      <w:t>3</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BA73D4">
      <w:rPr>
        <w:rStyle w:val="Nmerodepgina"/>
        <w:rFonts w:ascii="Arial" w:hAnsi="Arial" w:cs="Arial"/>
        <w:i/>
        <w:iCs/>
        <w:noProof/>
        <w:sz w:val="18"/>
      </w:rPr>
      <w:t>3</w:t>
    </w:r>
    <w:r w:rsidR="002615AF">
      <w:rPr>
        <w:rStyle w:val="Nmerodepgina"/>
        <w:rFonts w:ascii="Arial" w:hAnsi="Arial" w:cs="Arial"/>
        <w:i/>
        <w:iCs/>
        <w:sz w:val="18"/>
      </w:rPr>
      <w:fldChar w:fldCharType="end"/>
    </w:r>
  </w:p>
  <w:p w:rsidR="0055620F" w:rsidRDefault="0055620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73207D" w:rsidP="00F0009E">
    <w:pPr>
      <w:pStyle w:val="Encabezado"/>
    </w:pPr>
    <w:r w:rsidRPr="00824A71">
      <w:rPr>
        <w:noProof/>
        <w:lang w:val="es-CO" w:eastAsia="es-CO"/>
      </w:rPr>
      <w:drawing>
        <wp:anchor distT="0" distB="0" distL="114300" distR="114300" simplePos="0" relativeHeight="251663360" behindDoc="0" locked="0" layoutInCell="1" allowOverlap="1" wp14:anchorId="470776BD" wp14:editId="0463125F">
          <wp:simplePos x="0" y="0"/>
          <wp:positionH relativeFrom="column">
            <wp:posOffset>2075815</wp:posOffset>
          </wp:positionH>
          <wp:positionV relativeFrom="paragraph">
            <wp:posOffset>-10160</wp:posOffset>
          </wp:positionV>
          <wp:extent cx="565150" cy="600710"/>
          <wp:effectExtent l="0" t="0" r="635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150" cy="600710"/>
                  </a:xfrm>
                  <a:prstGeom prst="rect">
                    <a:avLst/>
                  </a:prstGeom>
                </pic:spPr>
              </pic:pic>
            </a:graphicData>
          </a:graphic>
          <wp14:sizeRelH relativeFrom="page">
            <wp14:pctWidth>0</wp14:pctWidth>
          </wp14:sizeRelH>
          <wp14:sizeRelV relativeFrom="page">
            <wp14:pctHeight>0</wp14:pctHeight>
          </wp14:sizeRelV>
        </wp:anchor>
      </w:drawing>
    </w:r>
    <w:r w:rsidR="00D62C63">
      <w:rPr>
        <w:noProof/>
        <w:lang w:val="es-CO" w:eastAsia="es-CO"/>
      </w:rPr>
      <w:drawing>
        <wp:anchor distT="0" distB="0" distL="114300" distR="114300" simplePos="0" relativeHeight="251659264" behindDoc="0" locked="0" layoutInCell="1" allowOverlap="1" wp14:anchorId="38EE61F5" wp14:editId="2C30D556">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C63">
      <w:rPr>
        <w:noProof/>
        <w:lang w:val="es-CO" w:eastAsia="es-CO"/>
      </w:rPr>
      <w:drawing>
        <wp:anchor distT="0" distB="0" distL="114300" distR="114300" simplePos="0" relativeHeight="251658240" behindDoc="0" locked="0" layoutInCell="1" allowOverlap="1" wp14:anchorId="68751C35" wp14:editId="6FC80088">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EEE4FB4"/>
    <w:multiLevelType w:val="hybridMultilevel"/>
    <w:tmpl w:val="D59C5B20"/>
    <w:lvl w:ilvl="0" w:tplc="70B416D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4F0D5E3B"/>
    <w:multiLevelType w:val="multilevel"/>
    <w:tmpl w:val="4ECEB908"/>
    <w:lvl w:ilvl="0">
      <w:start w:val="5"/>
      <w:numFmt w:val="decimal"/>
      <w:lvlText w:val="%1."/>
      <w:legacy w:legacy="1" w:legacySpace="0" w:legacyIndent="360"/>
      <w:lvlJc w:val="left"/>
      <w:rPr>
        <w:rFonts w:ascii="Arial" w:hAnsi="Arial" w:cs="Aria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23885"/>
    <w:rsid w:val="000346B3"/>
    <w:rsid w:val="000A03E8"/>
    <w:rsid w:val="000C53D2"/>
    <w:rsid w:val="00147F32"/>
    <w:rsid w:val="001E24F3"/>
    <w:rsid w:val="001E3115"/>
    <w:rsid w:val="00214F3A"/>
    <w:rsid w:val="00224401"/>
    <w:rsid w:val="00225411"/>
    <w:rsid w:val="00244811"/>
    <w:rsid w:val="002574E8"/>
    <w:rsid w:val="002615AF"/>
    <w:rsid w:val="002803B6"/>
    <w:rsid w:val="002838A7"/>
    <w:rsid w:val="00295012"/>
    <w:rsid w:val="00332360"/>
    <w:rsid w:val="00342D35"/>
    <w:rsid w:val="003651E4"/>
    <w:rsid w:val="00392639"/>
    <w:rsid w:val="003A1B14"/>
    <w:rsid w:val="003E28C6"/>
    <w:rsid w:val="0041171F"/>
    <w:rsid w:val="0042178F"/>
    <w:rsid w:val="00432398"/>
    <w:rsid w:val="00464988"/>
    <w:rsid w:val="00466199"/>
    <w:rsid w:val="004D6DA3"/>
    <w:rsid w:val="004D75EA"/>
    <w:rsid w:val="004F7721"/>
    <w:rsid w:val="00521F27"/>
    <w:rsid w:val="00522D5D"/>
    <w:rsid w:val="0055620F"/>
    <w:rsid w:val="00563B8F"/>
    <w:rsid w:val="00572FE5"/>
    <w:rsid w:val="0058080A"/>
    <w:rsid w:val="00586066"/>
    <w:rsid w:val="005926C4"/>
    <w:rsid w:val="00594068"/>
    <w:rsid w:val="00595BDE"/>
    <w:rsid w:val="005A11FF"/>
    <w:rsid w:val="005E231E"/>
    <w:rsid w:val="00601B4E"/>
    <w:rsid w:val="00602B14"/>
    <w:rsid w:val="00615EB7"/>
    <w:rsid w:val="00622615"/>
    <w:rsid w:val="006269EE"/>
    <w:rsid w:val="00632C2E"/>
    <w:rsid w:val="00634D9F"/>
    <w:rsid w:val="00661FA7"/>
    <w:rsid w:val="00681206"/>
    <w:rsid w:val="0069079E"/>
    <w:rsid w:val="006C4832"/>
    <w:rsid w:val="006E1081"/>
    <w:rsid w:val="006E3F55"/>
    <w:rsid w:val="0073207D"/>
    <w:rsid w:val="00752CE3"/>
    <w:rsid w:val="00756E7C"/>
    <w:rsid w:val="00775497"/>
    <w:rsid w:val="00782118"/>
    <w:rsid w:val="00826FC2"/>
    <w:rsid w:val="0083052C"/>
    <w:rsid w:val="008667EA"/>
    <w:rsid w:val="008868EC"/>
    <w:rsid w:val="008A497B"/>
    <w:rsid w:val="008E6426"/>
    <w:rsid w:val="00964CC5"/>
    <w:rsid w:val="00967D2B"/>
    <w:rsid w:val="00977D3D"/>
    <w:rsid w:val="009A44CB"/>
    <w:rsid w:val="009D35BA"/>
    <w:rsid w:val="009D59AE"/>
    <w:rsid w:val="00A430FB"/>
    <w:rsid w:val="00A725F2"/>
    <w:rsid w:val="00AA1A45"/>
    <w:rsid w:val="00AE3041"/>
    <w:rsid w:val="00B06E59"/>
    <w:rsid w:val="00B20F01"/>
    <w:rsid w:val="00BA73D4"/>
    <w:rsid w:val="00C522EE"/>
    <w:rsid w:val="00C75214"/>
    <w:rsid w:val="00D147D9"/>
    <w:rsid w:val="00D522F7"/>
    <w:rsid w:val="00D62C63"/>
    <w:rsid w:val="00DA77B9"/>
    <w:rsid w:val="00E12C0D"/>
    <w:rsid w:val="00E251F5"/>
    <w:rsid w:val="00E868DD"/>
    <w:rsid w:val="00ED2043"/>
    <w:rsid w:val="00ED79F4"/>
    <w:rsid w:val="00EE13DA"/>
    <w:rsid w:val="00F0009E"/>
    <w:rsid w:val="00F66BA2"/>
    <w:rsid w:val="00F8315C"/>
    <w:rsid w:val="00FC2398"/>
    <w:rsid w:val="00FF05BE"/>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styleId="Prrafodelista">
    <w:name w:val="List Paragraph"/>
    <w:basedOn w:val="Normal"/>
    <w:uiPriority w:val="34"/>
    <w:qFormat/>
    <w:rsid w:val="00A725F2"/>
    <w:pPr>
      <w:ind w:left="720"/>
      <w:contextualSpacing/>
    </w:pPr>
  </w:style>
  <w:style w:type="paragraph" w:customStyle="1" w:styleId="Textoindependiente22">
    <w:name w:val="Texto independiente 22"/>
    <w:basedOn w:val="Normal"/>
    <w:rsid w:val="00A725F2"/>
    <w:pPr>
      <w:suppressAutoHyphens/>
      <w:jc w:val="both"/>
    </w:pPr>
    <w:rPr>
      <w:rFonts w:ascii="Arial" w:hAnsi="Arial" w:cs="Arial"/>
      <w:iCs/>
      <w:sz w:val="22"/>
      <w:lang w:val="es-CO" w:eastAsia="ar-SA"/>
    </w:rPr>
  </w:style>
  <w:style w:type="paragraph" w:styleId="NormalWeb">
    <w:name w:val="Normal (Web)"/>
    <w:basedOn w:val="Normal"/>
    <w:rsid w:val="00A725F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styleId="Prrafodelista">
    <w:name w:val="List Paragraph"/>
    <w:basedOn w:val="Normal"/>
    <w:uiPriority w:val="34"/>
    <w:qFormat/>
    <w:rsid w:val="00A725F2"/>
    <w:pPr>
      <w:ind w:left="720"/>
      <w:contextualSpacing/>
    </w:pPr>
  </w:style>
  <w:style w:type="paragraph" w:customStyle="1" w:styleId="Textoindependiente22">
    <w:name w:val="Texto independiente 22"/>
    <w:basedOn w:val="Normal"/>
    <w:rsid w:val="00A725F2"/>
    <w:pPr>
      <w:suppressAutoHyphens/>
      <w:jc w:val="both"/>
    </w:pPr>
    <w:rPr>
      <w:rFonts w:ascii="Arial" w:hAnsi="Arial" w:cs="Arial"/>
      <w:iCs/>
      <w:sz w:val="22"/>
      <w:lang w:val="es-CO" w:eastAsia="ar-SA"/>
    </w:rPr>
  </w:style>
  <w:style w:type="paragraph" w:styleId="NormalWeb">
    <w:name w:val="Normal (Web)"/>
    <w:basedOn w:val="Normal"/>
    <w:rsid w:val="00A725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lidaria.gov.c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6.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nzapata</cp:lastModifiedBy>
  <cp:revision>2</cp:revision>
  <cp:lastPrinted>2014-08-12T12:47:00Z</cp:lastPrinted>
  <dcterms:created xsi:type="dcterms:W3CDTF">2014-09-03T14:21:00Z</dcterms:created>
  <dcterms:modified xsi:type="dcterms:W3CDTF">2014-09-03T14:21:00Z</dcterms:modified>
</cp:coreProperties>
</file>