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E76836" w14:textId="1B180105" w:rsidR="007471A2" w:rsidRPr="00AF1E06" w:rsidRDefault="004D1BF4" w:rsidP="007471A2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highlight w:val="yellow"/>
          <w:lang w:eastAsia="es-ES"/>
        </w:rPr>
      </w:pPr>
      <w:r>
        <w:rPr>
          <w:rFonts w:ascii="Arial,Bold" w:hAnsi="Arial,Bold" w:cs="Arial,Bold"/>
          <w:bCs/>
          <w:i w:val="0"/>
          <w:sz w:val="22"/>
          <w:szCs w:val="22"/>
          <w:lang w:eastAsia="es-ES"/>
        </w:rPr>
        <w:t>E</w:t>
      </w:r>
      <w:r w:rsid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l Gobierno Nacional </w:t>
      </w:r>
      <w:r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a través </w:t>
      </w:r>
      <w:r w:rsid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>del Decreto 455 de 2023</w:t>
      </w:r>
      <w:r w:rsidR="00670D1D">
        <w:rPr>
          <w:rFonts w:ascii="Arial,Bold" w:hAnsi="Arial,Bold" w:cs="Arial,Bold"/>
          <w:bCs/>
          <w:i w:val="0"/>
          <w:sz w:val="22"/>
          <w:szCs w:val="22"/>
          <w:lang w:eastAsia="es-ES"/>
        </w:rPr>
        <w:t>,</w:t>
      </w:r>
      <w:r w:rsid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032516" w:rsidRPr="0035698E"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>modific</w:t>
      </w:r>
      <w:r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>ó</w:t>
      </w:r>
      <w:r w:rsidR="00FF4269" w:rsidRPr="0035698E"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 xml:space="preserve"> los artículos 11.2.5.1.1. y 11.2.5.1.2. y adicion</w:t>
      </w:r>
      <w:r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>ó</w:t>
      </w:r>
      <w:r w:rsidR="00FF4269" w:rsidRPr="0035698E"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 xml:space="preserve"> el artículo 11.2.5.1.5.</w:t>
      </w:r>
      <w:r w:rsidR="00032516" w:rsidRPr="0035698E"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 xml:space="preserve"> al Decreto 2555 de 2010</w:t>
      </w:r>
      <w:r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>, en el cual</w:t>
      </w:r>
      <w:r w:rsidR="00FF4269" w:rsidRPr="0035698E"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 xml:space="preserve"> </w:t>
      </w:r>
      <w:r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 xml:space="preserve">se </w:t>
      </w:r>
      <w:r w:rsidR="00032516" w:rsidRPr="0035698E"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>determin</w:t>
      </w:r>
      <w:r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>aron</w:t>
      </w:r>
      <w:r w:rsidR="00032516" w:rsidRPr="0035698E">
        <w:rPr>
          <w:rFonts w:ascii="Arial,Bold" w:hAnsi="Arial,Bold" w:cs="Arial,Bold"/>
          <w:bCs/>
          <w:i w:val="0"/>
          <w:color w:val="000000" w:themeColor="text1"/>
          <w:sz w:val="22"/>
          <w:szCs w:val="22"/>
          <w:lang w:eastAsia="es-ES"/>
        </w:rPr>
        <w:t xml:space="preserve"> </w:t>
      </w:r>
      <w:r w:rsidR="00032516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las modalidades de crédito </w:t>
      </w:r>
      <w:r w:rsid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cuyas </w:t>
      </w:r>
      <w:r w:rsidR="005F5682" w:rsidRP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>tasas de interés deben ser certificadas por la Superinte</w:t>
      </w:r>
      <w:r w:rsid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ndencia Financiera de </w:t>
      </w:r>
      <w:r w:rsidR="00032516">
        <w:rPr>
          <w:rFonts w:ascii="Arial,Bold" w:hAnsi="Arial,Bold" w:cs="Arial,Bold"/>
          <w:bCs/>
          <w:i w:val="0"/>
          <w:sz w:val="22"/>
          <w:szCs w:val="22"/>
          <w:lang w:eastAsia="es-ES"/>
        </w:rPr>
        <w:t>Colombia</w:t>
      </w:r>
      <w:r>
        <w:rPr>
          <w:rFonts w:ascii="Arial,Bold" w:hAnsi="Arial,Bold" w:cs="Arial,Bold"/>
          <w:bCs/>
          <w:i w:val="0"/>
          <w:sz w:val="22"/>
          <w:szCs w:val="22"/>
          <w:lang w:eastAsia="es-ES"/>
        </w:rPr>
        <w:t>, con el propósito de</w:t>
      </w:r>
      <w:r w:rsid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impulsar </w:t>
      </w:r>
      <w:r w:rsidR="006E212F" w:rsidRP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>el acceso a la financiación forma</w:t>
      </w:r>
      <w:r w:rsidR="006E212F" w:rsidRPr="00AF1E06">
        <w:rPr>
          <w:rFonts w:ascii="Arial,Bold" w:hAnsi="Arial,Bold" w:cs="Arial,Bold"/>
          <w:bCs/>
          <w:i w:val="0"/>
          <w:sz w:val="22"/>
          <w:szCs w:val="22"/>
          <w:lang w:eastAsia="es-ES"/>
        </w:rPr>
        <w:t>l</w:t>
      </w:r>
      <w:r w:rsidR="00070A39" w:rsidRPr="00AF1E06">
        <w:rPr>
          <w:rFonts w:ascii="Arial,Bold" w:hAnsi="Arial,Bold" w:cs="Arial,Bold"/>
          <w:bCs/>
          <w:i w:val="0"/>
          <w:sz w:val="22"/>
          <w:szCs w:val="22"/>
          <w:lang w:eastAsia="es-ES"/>
        </w:rPr>
        <w:t>, a través de la creación d</w:t>
      </w:r>
      <w:r w:rsidR="00670D1D">
        <w:rPr>
          <w:rFonts w:ascii="Arial,Bold" w:hAnsi="Arial,Bold" w:cs="Arial,Bold"/>
          <w:bCs/>
          <w:i w:val="0"/>
          <w:sz w:val="22"/>
          <w:szCs w:val="22"/>
          <w:lang w:eastAsia="es-ES"/>
        </w:rPr>
        <w:t>e nuevas modalidades de crédito</w:t>
      </w:r>
      <w:r w:rsidR="00032516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que propende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>n</w:t>
      </w:r>
      <w:r w:rsidR="007471A2" w:rsidRPr="00AF1E06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por </w:t>
      </w:r>
      <w:r w:rsidR="00AF1E06" w:rsidRPr="00AF1E06">
        <w:rPr>
          <w:rFonts w:ascii="Arial,Bold" w:hAnsi="Arial,Bold" w:cs="Arial,Bold"/>
          <w:bCs/>
          <w:i w:val="0"/>
          <w:sz w:val="22"/>
          <w:szCs w:val="22"/>
          <w:lang w:eastAsia="es-ES"/>
        </w:rPr>
        <w:t>la</w:t>
      </w:r>
      <w:r w:rsidR="00067BE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generación de</w:t>
      </w:r>
      <w:r w:rsidR="00AF1E06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eficiencia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en </w:t>
      </w:r>
      <w:r w:rsidR="00067BE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los 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costos </w:t>
      </w:r>
      <w:r w:rsidR="007471A2" w:rsidRP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>financieros</w:t>
      </w:r>
      <w:r w:rsidR="00067BE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para</w:t>
      </w:r>
      <w:r w:rsidR="007471A2" w:rsidRPr="006E212F">
        <w:t xml:space="preserve"> </w:t>
      </w:r>
      <w:r w:rsidR="007471A2" w:rsidRP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>viabili</w:t>
      </w:r>
      <w:r w:rsidR="00067BEA">
        <w:rPr>
          <w:rFonts w:ascii="Arial,Bold" w:hAnsi="Arial,Bold" w:cs="Arial,Bold"/>
          <w:bCs/>
          <w:i w:val="0"/>
          <w:sz w:val="22"/>
          <w:szCs w:val="22"/>
          <w:lang w:eastAsia="es-ES"/>
        </w:rPr>
        <w:t>zar</w:t>
      </w:r>
      <w:r w:rsidR="007471A2" w:rsidRP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y prom</w:t>
      </w:r>
      <w:r w:rsidR="00067BEA">
        <w:rPr>
          <w:rFonts w:ascii="Arial,Bold" w:hAnsi="Arial,Bold" w:cs="Arial,Bold"/>
          <w:bCs/>
          <w:i w:val="0"/>
          <w:sz w:val="22"/>
          <w:szCs w:val="22"/>
          <w:lang w:eastAsia="es-ES"/>
        </w:rPr>
        <w:t>over</w:t>
      </w:r>
      <w:r w:rsidR="007471A2" w:rsidRP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los procesos productivos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de</w:t>
      </w:r>
      <w:r w:rsidR="007471A2" w:rsidRP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la población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vulnerable</w:t>
      </w:r>
      <w:r w:rsidR="007471A2" w:rsidRPr="006E212F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del pa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>ís</w:t>
      </w:r>
      <w:r w:rsidR="00AF1E06">
        <w:rPr>
          <w:rFonts w:ascii="Arial,Bold" w:hAnsi="Arial,Bold" w:cs="Arial,Bold"/>
          <w:bCs/>
          <w:i w:val="0"/>
          <w:sz w:val="22"/>
          <w:szCs w:val="22"/>
          <w:lang w:eastAsia="es-ES"/>
        </w:rPr>
        <w:t>.</w:t>
      </w:r>
    </w:p>
    <w:p w14:paraId="5E95A872" w14:textId="77777777" w:rsidR="006E212F" w:rsidRDefault="006E212F" w:rsidP="005F5682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</w:p>
    <w:p w14:paraId="2E6C0C89" w14:textId="780B8666" w:rsidR="00584A68" w:rsidRDefault="00070A39" w:rsidP="005F5682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Bajo este contexto, la Supersolidaria ha considerado 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pertinente </w:t>
      </w:r>
      <w:r w:rsidR="00C91960">
        <w:rPr>
          <w:rFonts w:ascii="Arial,Bold" w:hAnsi="Arial,Bold" w:cs="Arial,Bold"/>
          <w:bCs/>
          <w:i w:val="0"/>
          <w:sz w:val="22"/>
          <w:szCs w:val="22"/>
          <w:lang w:eastAsia="es-ES"/>
        </w:rPr>
        <w:t>actualiza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>r</w:t>
      </w:r>
      <w:r w:rsidR="00670D1D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las 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instrucciones en materia de </w:t>
      </w:r>
      <w:r w:rsidR="00670D1D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modalidades de crédito, 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>buscando facilitar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AF1E06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que </w:t>
      </w:r>
      <w:r w:rsidR="00670D1D">
        <w:rPr>
          <w:rFonts w:ascii="Arial,Bold" w:hAnsi="Arial,Bold" w:cs="Arial,Bold"/>
          <w:bCs/>
          <w:i w:val="0"/>
          <w:sz w:val="22"/>
          <w:szCs w:val="22"/>
          <w:lang w:eastAsia="es-ES"/>
        </w:rPr>
        <w:t>las Organizaciones Solidaria</w:t>
      </w:r>
      <w:r w:rsidR="00A614BB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s se ajusten a las </w:t>
      </w:r>
      <w:r w:rsidR="007471A2" w:rsidRP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>disposiciones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032516">
        <w:rPr>
          <w:rFonts w:ascii="Arial,Bold" w:hAnsi="Arial,Bold" w:cs="Arial,Bold"/>
          <w:bCs/>
          <w:i w:val="0"/>
          <w:sz w:val="22"/>
          <w:szCs w:val="22"/>
          <w:lang w:eastAsia="es-ES"/>
        </w:rPr>
        <w:t>impartidas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, procurando la adecuada </w:t>
      </w:r>
      <w:r w:rsidR="007471A2" w:rsidRPr="005F5682">
        <w:rPr>
          <w:rFonts w:ascii="Arial,Bold" w:hAnsi="Arial,Bold" w:cs="Arial,Bold"/>
          <w:bCs/>
          <w:i w:val="0"/>
          <w:sz w:val="22"/>
          <w:szCs w:val="22"/>
          <w:lang w:eastAsia="es-ES"/>
        </w:rPr>
        <w:t>protecció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n de los derechos </w:t>
      </w:r>
      <w:r w:rsidR="00032516">
        <w:rPr>
          <w:rFonts w:ascii="Arial,Bold" w:hAnsi="Arial,Bold" w:cs="Arial,Bold"/>
          <w:bCs/>
          <w:i w:val="0"/>
          <w:sz w:val="22"/>
          <w:szCs w:val="22"/>
          <w:lang w:eastAsia="es-ES"/>
        </w:rPr>
        <w:t>de los asociados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>.</w:t>
      </w:r>
      <w:r w:rsidR="007471A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</w:p>
    <w:p w14:paraId="0229A590" w14:textId="77777777" w:rsidR="00E14CE7" w:rsidRDefault="00E14CE7" w:rsidP="005F5682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</w:p>
    <w:p w14:paraId="12C124DC" w14:textId="4234B739" w:rsidR="00E14CE7" w:rsidRDefault="00E14CE7" w:rsidP="005F5682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Así las cosas, se hace necesario 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incorporar </w:t>
      </w:r>
      <w:r w:rsidR="0007168A">
        <w:rPr>
          <w:i w:val="0"/>
          <w:sz w:val="22"/>
          <w:szCs w:val="22"/>
          <w:lang w:eastAsia="es-ES"/>
        </w:rPr>
        <w:t>los lineamientos impartidos en el Decreto 455 de 2023, respecto al cambio de las modalidades de crédito</w:t>
      </w:r>
      <w:r w:rsidR="0007168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en las instrucciones relativas a</w:t>
      </w:r>
      <w:r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l </w:t>
      </w:r>
      <w:r w:rsidRPr="0057212C">
        <w:rPr>
          <w:i w:val="0"/>
          <w:sz w:val="22"/>
          <w:szCs w:val="22"/>
          <w:lang w:eastAsia="es-ES"/>
        </w:rPr>
        <w:t>Sistema de Administración del Riesgo de Crédito</w:t>
      </w:r>
      <w:r w:rsidR="0007168A">
        <w:rPr>
          <w:i w:val="0"/>
          <w:sz w:val="22"/>
          <w:szCs w:val="22"/>
          <w:lang w:eastAsia="es-ES"/>
        </w:rPr>
        <w:t>,</w:t>
      </w:r>
      <w:r w:rsidRPr="0057212C">
        <w:rPr>
          <w:i w:val="0"/>
          <w:sz w:val="22"/>
          <w:szCs w:val="22"/>
          <w:lang w:eastAsia="es-ES"/>
        </w:rPr>
        <w:t xml:space="preserve"> contenid</w:t>
      </w:r>
      <w:r w:rsidR="0007168A">
        <w:rPr>
          <w:i w:val="0"/>
          <w:sz w:val="22"/>
          <w:szCs w:val="22"/>
          <w:lang w:eastAsia="es-ES"/>
        </w:rPr>
        <w:t>a</w:t>
      </w:r>
      <w:r w:rsidRPr="0057212C">
        <w:rPr>
          <w:i w:val="0"/>
          <w:sz w:val="22"/>
          <w:szCs w:val="22"/>
          <w:lang w:eastAsia="es-ES"/>
        </w:rPr>
        <w:t>s en el Capítulo II, del Título IV, de la Circular Básica Contable y Financiera</w:t>
      </w:r>
      <w:r w:rsidR="00657E30">
        <w:rPr>
          <w:i w:val="0"/>
          <w:sz w:val="22"/>
          <w:szCs w:val="22"/>
          <w:lang w:eastAsia="es-ES"/>
        </w:rPr>
        <w:t>,</w:t>
      </w:r>
      <w:r>
        <w:rPr>
          <w:i w:val="0"/>
          <w:sz w:val="22"/>
          <w:szCs w:val="22"/>
          <w:lang w:eastAsia="es-ES"/>
        </w:rPr>
        <w:t xml:space="preserve"> </w:t>
      </w:r>
      <w:r w:rsidR="00657E30">
        <w:rPr>
          <w:i w:val="0"/>
          <w:sz w:val="22"/>
          <w:szCs w:val="22"/>
          <w:lang w:eastAsia="es-ES"/>
        </w:rPr>
        <w:t xml:space="preserve">al igual que </w:t>
      </w:r>
      <w:r w:rsidR="0007168A">
        <w:rPr>
          <w:i w:val="0"/>
          <w:sz w:val="22"/>
          <w:szCs w:val="22"/>
          <w:lang w:eastAsia="es-ES"/>
        </w:rPr>
        <w:t xml:space="preserve">en </w:t>
      </w:r>
      <w:r w:rsidR="00657E30">
        <w:rPr>
          <w:i w:val="0"/>
          <w:sz w:val="22"/>
          <w:szCs w:val="22"/>
          <w:lang w:eastAsia="es-ES"/>
        </w:rPr>
        <w:t xml:space="preserve">el Formulario </w:t>
      </w:r>
      <w:r w:rsidR="00657E30" w:rsidRPr="00E023EE">
        <w:rPr>
          <w:i w:val="0"/>
          <w:sz w:val="22"/>
          <w:szCs w:val="22"/>
          <w:lang w:eastAsia="es-ES"/>
        </w:rPr>
        <w:t>Oficia</w:t>
      </w:r>
      <w:r w:rsidR="00E023EE">
        <w:rPr>
          <w:i w:val="0"/>
          <w:sz w:val="22"/>
          <w:szCs w:val="22"/>
          <w:lang w:eastAsia="es-ES"/>
        </w:rPr>
        <w:t>l</w:t>
      </w:r>
      <w:r w:rsidR="00657E30">
        <w:rPr>
          <w:i w:val="0"/>
          <w:sz w:val="22"/>
          <w:szCs w:val="22"/>
          <w:lang w:eastAsia="es-ES"/>
        </w:rPr>
        <w:t xml:space="preserve"> </w:t>
      </w:r>
      <w:r>
        <w:rPr>
          <w:i w:val="0"/>
          <w:sz w:val="22"/>
          <w:szCs w:val="22"/>
          <w:lang w:eastAsia="es-ES"/>
        </w:rPr>
        <w:t xml:space="preserve">de </w:t>
      </w:r>
      <w:r w:rsidR="00657E30">
        <w:rPr>
          <w:i w:val="0"/>
          <w:sz w:val="22"/>
          <w:szCs w:val="22"/>
          <w:lang w:eastAsia="es-ES"/>
        </w:rPr>
        <w:t>Rendición de Cuentas</w:t>
      </w:r>
      <w:r w:rsidR="00670D1D">
        <w:rPr>
          <w:i w:val="0"/>
          <w:sz w:val="22"/>
          <w:szCs w:val="22"/>
          <w:lang w:eastAsia="es-ES"/>
        </w:rPr>
        <w:t>.</w:t>
      </w:r>
    </w:p>
    <w:p w14:paraId="16AFD176" w14:textId="77777777" w:rsidR="00E14CE7" w:rsidRDefault="00E14CE7" w:rsidP="005F5682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</w:p>
    <w:p w14:paraId="7203558F" w14:textId="77777777" w:rsidR="00E14CE7" w:rsidRDefault="00E14CE7" w:rsidP="00E14CE7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>Por lo anterior, esta Superintendencia en ejercicio de las facultades legales conferidas en el numeral 22, del artículo 36, de la Ley 454 de 1998, imparte las siguientes instrucciones:</w:t>
      </w:r>
    </w:p>
    <w:p w14:paraId="04F649E9" w14:textId="77777777" w:rsidR="00E14CE7" w:rsidRDefault="00E14CE7" w:rsidP="005F5682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</w:p>
    <w:p w14:paraId="777E25F7" w14:textId="77777777" w:rsidR="00374BF5" w:rsidRPr="00374BF5" w:rsidRDefault="00117175" w:rsidP="00374BF5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 xml:space="preserve">PRIMERA: </w:t>
      </w:r>
      <w:r w:rsidR="003979D2">
        <w:rPr>
          <w:rFonts w:ascii="Arial,Bold" w:hAnsi="Arial,Bold" w:cs="Arial,Bold"/>
          <w:bCs/>
          <w:i w:val="0"/>
          <w:sz w:val="22"/>
          <w:szCs w:val="22"/>
          <w:lang w:eastAsia="es-ES"/>
        </w:rPr>
        <w:t>Adicionar</w:t>
      </w:r>
      <w:r w:rsidR="00374BF5" w:rsidRPr="00374BF5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las cuentas del Formato 3, Catálogo Único de Información Financiera con Fines de Supervisión, del Formulario Oficial de Rendición de Cuentas, conforme al Anexo 1 a la presente Circular.</w:t>
      </w:r>
    </w:p>
    <w:p w14:paraId="3D836905" w14:textId="77777777" w:rsidR="00374BF5" w:rsidRDefault="00374BF5" w:rsidP="0057212C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</w:p>
    <w:p w14:paraId="7560BB0E" w14:textId="7F480EBD" w:rsidR="00374BF5" w:rsidRPr="00D8346E" w:rsidRDefault="00374BF5" w:rsidP="00374BF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lastRenderedPageBreak/>
        <w:t xml:space="preserve">SEGUNDA: </w:t>
      </w:r>
      <w:r>
        <w:rPr>
          <w:i w:val="0"/>
          <w:sz w:val="22"/>
          <w:szCs w:val="22"/>
          <w:lang w:eastAsia="es-ES"/>
        </w:rPr>
        <w:t>Adicionar</w:t>
      </w:r>
      <w:r w:rsidRPr="0057212C">
        <w:rPr>
          <w:i w:val="0"/>
          <w:sz w:val="22"/>
          <w:szCs w:val="22"/>
          <w:lang w:eastAsia="es-ES"/>
        </w:rPr>
        <w:t xml:space="preserve"> el numeral </w:t>
      </w:r>
      <w:r>
        <w:rPr>
          <w:i w:val="0"/>
          <w:sz w:val="22"/>
          <w:szCs w:val="22"/>
          <w:lang w:eastAsia="es-ES"/>
        </w:rPr>
        <w:t xml:space="preserve">3.1. </w:t>
      </w:r>
      <w:r w:rsidRPr="0035698E">
        <w:rPr>
          <w:i w:val="0"/>
          <w:color w:val="000000" w:themeColor="text1"/>
          <w:sz w:val="22"/>
          <w:szCs w:val="22"/>
          <w:lang w:eastAsia="es-ES"/>
        </w:rPr>
        <w:t>DEFINICIONES</w:t>
      </w:r>
      <w:r w:rsidRPr="0057212C">
        <w:rPr>
          <w:i w:val="0"/>
          <w:sz w:val="22"/>
          <w:szCs w:val="22"/>
          <w:lang w:eastAsia="es-ES"/>
        </w:rPr>
        <w:t>, del Capítulo II, Título IV de la Circular</w:t>
      </w:r>
      <w:r>
        <w:rPr>
          <w:i w:val="0"/>
          <w:sz w:val="22"/>
          <w:szCs w:val="22"/>
          <w:lang w:eastAsia="es-ES"/>
        </w:rPr>
        <w:t xml:space="preserve"> </w:t>
      </w:r>
      <w:r w:rsidRPr="0057212C">
        <w:rPr>
          <w:i w:val="0"/>
          <w:sz w:val="22"/>
          <w:szCs w:val="22"/>
          <w:lang w:eastAsia="es-ES"/>
        </w:rPr>
        <w:t xml:space="preserve">Básica Contable y Financiera, con el propósito de </w:t>
      </w:r>
      <w:r>
        <w:rPr>
          <w:i w:val="0"/>
          <w:sz w:val="22"/>
          <w:szCs w:val="22"/>
          <w:lang w:eastAsia="es-ES"/>
        </w:rPr>
        <w:t xml:space="preserve">incluir las modalidades de crédito </w:t>
      </w:r>
      <w:r w:rsidR="00FD70F2">
        <w:rPr>
          <w:i w:val="0"/>
          <w:sz w:val="22"/>
          <w:szCs w:val="22"/>
          <w:lang w:eastAsia="es-ES"/>
        </w:rPr>
        <w:t>señaladas en</w:t>
      </w:r>
      <w:r>
        <w:rPr>
          <w:i w:val="0"/>
          <w:sz w:val="22"/>
          <w:szCs w:val="22"/>
          <w:lang w:eastAsia="es-ES"/>
        </w:rPr>
        <w:t xml:space="preserve"> el Decreto 455 de 2023. </w:t>
      </w:r>
    </w:p>
    <w:p w14:paraId="1AF50AEA" w14:textId="77777777" w:rsidR="00374BF5" w:rsidRDefault="00374BF5" w:rsidP="00374BF5">
      <w:pPr>
        <w:jc w:val="both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</w:p>
    <w:p w14:paraId="45B06C2E" w14:textId="32C9009A" w:rsidR="00374BF5" w:rsidRPr="00374BF5" w:rsidRDefault="00374BF5" w:rsidP="00374BF5">
      <w:pPr>
        <w:suppressAutoHyphens w:val="0"/>
        <w:autoSpaceDE w:val="0"/>
        <w:autoSpaceDN w:val="0"/>
        <w:adjustRightInd w:val="0"/>
        <w:jc w:val="both"/>
        <w:rPr>
          <w:bCs/>
          <w:i w:val="0"/>
          <w:iCs/>
          <w:sz w:val="22"/>
          <w:szCs w:val="22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>TERCERA:</w:t>
      </w:r>
      <w:r>
        <w:rPr>
          <w:i w:val="0"/>
          <w:sz w:val="22"/>
          <w:szCs w:val="22"/>
          <w:lang w:eastAsia="es-ES"/>
        </w:rPr>
        <w:t xml:space="preserve"> </w:t>
      </w:r>
      <w:r w:rsidRPr="0057212C">
        <w:rPr>
          <w:i w:val="0"/>
          <w:sz w:val="22"/>
          <w:szCs w:val="22"/>
          <w:lang w:eastAsia="es-ES"/>
        </w:rPr>
        <w:t>Modificar el numeral</w:t>
      </w:r>
      <w:r>
        <w:rPr>
          <w:i w:val="0"/>
          <w:sz w:val="22"/>
          <w:szCs w:val="22"/>
          <w:lang w:eastAsia="es-ES"/>
        </w:rPr>
        <w:t xml:space="preserve"> 5.8.4.2. Reportes a la Superintendencia, </w:t>
      </w:r>
      <w:r w:rsidRPr="0057212C">
        <w:rPr>
          <w:i w:val="0"/>
          <w:sz w:val="22"/>
          <w:szCs w:val="22"/>
          <w:lang w:eastAsia="es-ES"/>
        </w:rPr>
        <w:t>del Capítulo II, Título IV de la Circular</w:t>
      </w:r>
      <w:r>
        <w:rPr>
          <w:i w:val="0"/>
          <w:sz w:val="22"/>
          <w:szCs w:val="22"/>
          <w:lang w:eastAsia="es-ES"/>
        </w:rPr>
        <w:t xml:space="preserve"> </w:t>
      </w:r>
      <w:r w:rsidRPr="0057212C">
        <w:rPr>
          <w:i w:val="0"/>
          <w:sz w:val="22"/>
          <w:szCs w:val="22"/>
          <w:lang w:eastAsia="es-ES"/>
        </w:rPr>
        <w:t>Básica Contable y Financiera</w:t>
      </w:r>
      <w:r>
        <w:rPr>
          <w:i w:val="0"/>
          <w:sz w:val="22"/>
          <w:szCs w:val="22"/>
          <w:lang w:eastAsia="es-ES"/>
        </w:rPr>
        <w:t xml:space="preserve">, con el propósito del incluir el reporte a la Supersolidaria del cobro de honorarios y </w:t>
      </w:r>
      <w:r w:rsidRPr="0035698E">
        <w:rPr>
          <w:i w:val="0"/>
          <w:color w:val="000000" w:themeColor="text1"/>
          <w:sz w:val="22"/>
          <w:szCs w:val="22"/>
          <w:lang w:eastAsia="es-ES"/>
        </w:rPr>
        <w:t xml:space="preserve">comisiones </w:t>
      </w:r>
      <w:r w:rsidRPr="0035698E">
        <w:rPr>
          <w:i w:val="0"/>
          <w:color w:val="000000" w:themeColor="text1"/>
          <w:sz w:val="22"/>
          <w:szCs w:val="22"/>
          <w:lang w:val="es-ES" w:eastAsia="es-ES"/>
        </w:rPr>
        <w:t>en el marco de las operaciones de crédito microempresarial</w:t>
      </w:r>
      <w:r w:rsidR="00BD0B3A">
        <w:rPr>
          <w:i w:val="0"/>
          <w:color w:val="000000" w:themeColor="text1"/>
          <w:sz w:val="22"/>
          <w:szCs w:val="22"/>
          <w:lang w:val="es-ES" w:eastAsia="es-ES"/>
        </w:rPr>
        <w:t xml:space="preserve"> o crédito productivo correspondiente</w:t>
      </w:r>
      <w:r w:rsidRPr="0035698E">
        <w:rPr>
          <w:i w:val="0"/>
          <w:color w:val="000000" w:themeColor="text1"/>
          <w:sz w:val="22"/>
          <w:szCs w:val="22"/>
          <w:lang w:val="es-ES" w:eastAsia="es-ES"/>
        </w:rPr>
        <w:t xml:space="preserve">. </w:t>
      </w:r>
    </w:p>
    <w:p w14:paraId="1C32EAE4" w14:textId="77777777" w:rsidR="00374BF5" w:rsidRDefault="00374BF5" w:rsidP="00374BF5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</w:p>
    <w:p w14:paraId="6869FFEC" w14:textId="5290D004" w:rsidR="00374BF5" w:rsidRDefault="00374BF5" w:rsidP="00374BF5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 xml:space="preserve">CUARTA: </w:t>
      </w:r>
      <w:r w:rsidRPr="00374BF5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Modificar el Formato 9027, Informe Individual de Cartera de Crédito, con el fin de alinearlo a las instrucciones contenidas en el Capítulo II, Título IV de la Circular Básica Contable y Financiera y sus </w:t>
      </w:r>
      <w:r w:rsidR="00344816">
        <w:rPr>
          <w:rFonts w:ascii="Arial,Bold" w:hAnsi="Arial,Bold" w:cs="Arial,Bold"/>
          <w:bCs/>
          <w:i w:val="0"/>
          <w:sz w:val="22"/>
          <w:szCs w:val="22"/>
          <w:lang w:eastAsia="es-ES"/>
        </w:rPr>
        <w:t>anexos, en el cual se incluy</w:t>
      </w:r>
      <w:r w:rsidR="00FD70F2">
        <w:rPr>
          <w:rFonts w:ascii="Arial,Bold" w:hAnsi="Arial,Bold" w:cs="Arial,Bold"/>
          <w:bCs/>
          <w:i w:val="0"/>
          <w:sz w:val="22"/>
          <w:szCs w:val="22"/>
          <w:lang w:eastAsia="es-ES"/>
        </w:rPr>
        <w:t>ó</w:t>
      </w:r>
      <w:r w:rsidR="00344816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FD70F2">
        <w:rPr>
          <w:rFonts w:ascii="Arial,Bold" w:hAnsi="Arial,Bold" w:cs="Arial,Bold"/>
          <w:bCs/>
          <w:i w:val="0"/>
          <w:sz w:val="22"/>
          <w:szCs w:val="22"/>
          <w:lang w:eastAsia="es-ES"/>
        </w:rPr>
        <w:t>una</w:t>
      </w:r>
      <w:r w:rsidR="00344816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lista desplegable</w:t>
      </w:r>
      <w:r w:rsidR="00FD70F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por líneas de crédito</w:t>
      </w:r>
      <w:r w:rsidRPr="00374BF5">
        <w:rPr>
          <w:rFonts w:ascii="Arial,Bold" w:hAnsi="Arial,Bold" w:cs="Arial,Bold"/>
          <w:bCs/>
          <w:i w:val="0"/>
          <w:sz w:val="22"/>
          <w:szCs w:val="22"/>
          <w:lang w:eastAsia="es-ES"/>
        </w:rPr>
        <w:t>:</w:t>
      </w:r>
    </w:p>
    <w:p w14:paraId="458BEB6F" w14:textId="77777777" w:rsidR="00374BF5" w:rsidRDefault="00374BF5" w:rsidP="00374BF5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</w:p>
    <w:p w14:paraId="23D3CDFA" w14:textId="13190414" w:rsidR="00374BF5" w:rsidRPr="00657E30" w:rsidRDefault="00657E30" w:rsidP="00374BF5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  <w:lang w:eastAsia="es-ES"/>
        </w:rPr>
      </w:pPr>
      <w:r>
        <w:rPr>
          <w:rFonts w:ascii="Arial,Bold" w:hAnsi="Arial,Bold" w:cs="Arial,Bold"/>
          <w:bCs/>
          <w:sz w:val="22"/>
          <w:szCs w:val="22"/>
          <w:lang w:eastAsia="es-ES"/>
        </w:rPr>
        <w:t>C</w:t>
      </w:r>
      <w:r w:rsidRPr="00657E30">
        <w:rPr>
          <w:rFonts w:ascii="Arial,Bold" w:hAnsi="Arial,Bold" w:cs="Arial,Bold"/>
          <w:bCs/>
          <w:sz w:val="22"/>
          <w:szCs w:val="22"/>
          <w:lang w:eastAsia="es-ES"/>
        </w:rPr>
        <w:t xml:space="preserve">rédito popular productivo rural, </w:t>
      </w:r>
      <w:bookmarkStart w:id="0" w:name="_Hlk134259749"/>
      <w:r w:rsidRPr="00657E30">
        <w:rPr>
          <w:rFonts w:ascii="Arial,Bold" w:hAnsi="Arial,Bold" w:cs="Arial,Bold"/>
          <w:bCs/>
          <w:sz w:val="22"/>
          <w:szCs w:val="22"/>
          <w:lang w:eastAsia="es-ES"/>
        </w:rPr>
        <w:t>crédito</w:t>
      </w:r>
      <w:bookmarkEnd w:id="0"/>
      <w:r w:rsidRPr="00657E30">
        <w:rPr>
          <w:rFonts w:ascii="Arial,Bold" w:hAnsi="Arial,Bold" w:cs="Arial,Bold"/>
          <w:bCs/>
          <w:sz w:val="22"/>
          <w:szCs w:val="22"/>
          <w:lang w:eastAsia="es-ES"/>
        </w:rPr>
        <w:t xml:space="preserve"> popular productivo urbano, crédito productivo rural, crédito productivo urbano y crédito productivo de mayor monto</w:t>
      </w:r>
    </w:p>
    <w:p w14:paraId="0F91C2B2" w14:textId="77777777" w:rsidR="00E91C8F" w:rsidRPr="00657E30" w:rsidRDefault="00E91C8F" w:rsidP="00245469">
      <w:pPr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</w:p>
    <w:p w14:paraId="65E6D617" w14:textId="2F8DD236" w:rsidR="00A051FE" w:rsidRPr="00A051FE" w:rsidRDefault="00374BF5" w:rsidP="00374BF5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Cs/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 xml:space="preserve">QUINTA: </w:t>
      </w:r>
      <w:r w:rsidR="00657E30" w:rsidRP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Para aquellos casos en donde se hayan efectuado </w:t>
      </w:r>
      <w:r w:rsid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>desembolsos de</w:t>
      </w:r>
      <w:r w:rsidR="00657E30" w:rsidRP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crédito</w:t>
      </w:r>
      <w:r w:rsid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>s</w:t>
      </w:r>
      <w:r w:rsidR="00657E30" w:rsidRP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bajo la modalidad de Microcrédito posterior</w:t>
      </w:r>
      <w:r w:rsidR="00343F23">
        <w:rPr>
          <w:rFonts w:ascii="Arial,Bold" w:hAnsi="Arial,Bold" w:cs="Arial,Bold"/>
          <w:bCs/>
          <w:i w:val="0"/>
          <w:sz w:val="22"/>
          <w:szCs w:val="22"/>
          <w:lang w:eastAsia="es-ES"/>
        </w:rPr>
        <w:t>es</w:t>
      </w:r>
      <w:r w:rsidR="00657E30" w:rsidRP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al 31 de marzo de 2023, </w:t>
      </w:r>
      <w:r w:rsidR="00224B2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de acuerdo con lo establecido en </w:t>
      </w:r>
      <w:r w:rsid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>el Decreto</w:t>
      </w:r>
      <w:r w:rsidR="00343F23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455 de 2023</w:t>
      </w:r>
      <w:r w:rsid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se deberán reclasificar dichas operaciones de acuerdo con los lineamientos</w:t>
      </w:r>
      <w:r w:rsidR="00FD70F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876E06">
        <w:rPr>
          <w:rFonts w:ascii="Arial,Bold" w:hAnsi="Arial,Bold" w:cs="Arial,Bold"/>
          <w:bCs/>
          <w:i w:val="0"/>
          <w:sz w:val="22"/>
          <w:szCs w:val="22"/>
          <w:lang w:eastAsia="es-ES"/>
        </w:rPr>
        <w:t>anteriormente</w:t>
      </w:r>
      <w:r w:rsidR="00657E30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  <w:r w:rsidR="00343F23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impartidos y cumpliendo con los requisitos </w:t>
      </w:r>
      <w:r w:rsidR="00FD70F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de reporte </w:t>
      </w:r>
      <w:r w:rsidR="00343F23">
        <w:rPr>
          <w:rFonts w:ascii="Arial,Bold" w:hAnsi="Arial,Bold" w:cs="Arial,Bold"/>
          <w:bCs/>
          <w:i w:val="0"/>
          <w:sz w:val="22"/>
          <w:szCs w:val="22"/>
          <w:lang w:eastAsia="es-ES"/>
        </w:rPr>
        <w:t>que le</w:t>
      </w:r>
      <w:r w:rsidR="00A94BB6">
        <w:rPr>
          <w:rFonts w:ascii="Arial,Bold" w:hAnsi="Arial,Bold" w:cs="Arial,Bold"/>
          <w:bCs/>
          <w:i w:val="0"/>
          <w:sz w:val="22"/>
          <w:szCs w:val="22"/>
          <w:lang w:eastAsia="es-ES"/>
        </w:rPr>
        <w:t>s</w:t>
      </w:r>
      <w:r w:rsidR="00343F23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aplique</w:t>
      </w:r>
      <w:r w:rsidR="00224B22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, en la modalidad </w:t>
      </w:r>
      <w:r w:rsidR="00BD0B3A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de crédito productivo </w:t>
      </w:r>
      <w:r w:rsidR="00224B22">
        <w:rPr>
          <w:rFonts w:ascii="Arial,Bold" w:hAnsi="Arial,Bold" w:cs="Arial,Bold"/>
          <w:bCs/>
          <w:i w:val="0"/>
          <w:sz w:val="22"/>
          <w:szCs w:val="22"/>
          <w:lang w:eastAsia="es-ES"/>
        </w:rPr>
        <w:t>correspondiente</w:t>
      </w:r>
      <w:r w:rsidR="00343F23">
        <w:rPr>
          <w:rFonts w:ascii="Arial,Bold" w:hAnsi="Arial,Bold" w:cs="Arial,Bold"/>
          <w:bCs/>
          <w:i w:val="0"/>
          <w:sz w:val="22"/>
          <w:szCs w:val="22"/>
          <w:lang w:eastAsia="es-ES"/>
        </w:rPr>
        <w:t>.</w:t>
      </w:r>
      <w:r w:rsidR="00A051FE">
        <w:rPr>
          <w:rFonts w:ascii="Arial,Bold" w:hAnsi="Arial,Bold" w:cs="Arial,Bold"/>
          <w:bCs/>
          <w:i w:val="0"/>
          <w:sz w:val="22"/>
          <w:szCs w:val="22"/>
          <w:lang w:eastAsia="es-ES"/>
        </w:rPr>
        <w:t xml:space="preserve"> </w:t>
      </w:r>
    </w:p>
    <w:p w14:paraId="63B02FBB" w14:textId="77777777" w:rsidR="00A051FE" w:rsidRDefault="00A051FE" w:rsidP="00374BF5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</w:p>
    <w:p w14:paraId="7924110A" w14:textId="28AD67E2" w:rsidR="00374BF5" w:rsidRDefault="00A051FE" w:rsidP="00374BF5">
      <w:pPr>
        <w:suppressAutoHyphens w:val="0"/>
        <w:autoSpaceDE w:val="0"/>
        <w:autoSpaceDN w:val="0"/>
        <w:adjustRightInd w:val="0"/>
        <w:jc w:val="both"/>
        <w:rPr>
          <w:bCs/>
          <w:i w:val="0"/>
          <w:iCs/>
          <w:sz w:val="22"/>
          <w:szCs w:val="22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 xml:space="preserve">SEXTA: </w:t>
      </w:r>
      <w:r w:rsidR="00374BF5">
        <w:rPr>
          <w:i w:val="0"/>
          <w:sz w:val="22"/>
          <w:szCs w:val="22"/>
          <w:lang w:eastAsia="es-ES"/>
        </w:rPr>
        <w:t>Conforme a lo previsto en el inciso primero del artículo 65 de la Ley 1437 de 2011, la presente Circular rige a partir de la fecha de su publicación en el Diario Oficial.</w:t>
      </w:r>
    </w:p>
    <w:p w14:paraId="77AEB35A" w14:textId="77777777" w:rsidR="00374BF5" w:rsidRDefault="00374BF5" w:rsidP="00245469">
      <w:pPr>
        <w:jc w:val="both"/>
        <w:rPr>
          <w:bCs/>
          <w:i w:val="0"/>
          <w:iCs/>
          <w:sz w:val="22"/>
          <w:szCs w:val="22"/>
        </w:rPr>
      </w:pPr>
    </w:p>
    <w:p w14:paraId="04237451" w14:textId="77777777" w:rsidR="00374BF5" w:rsidRDefault="00374BF5" w:rsidP="00245469">
      <w:pPr>
        <w:jc w:val="both"/>
        <w:rPr>
          <w:bCs/>
          <w:i w:val="0"/>
          <w:iCs/>
          <w:sz w:val="22"/>
          <w:szCs w:val="22"/>
        </w:rPr>
      </w:pPr>
    </w:p>
    <w:p w14:paraId="5F31FB33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>Cordialmente,</w:t>
      </w:r>
    </w:p>
    <w:p w14:paraId="1B7EC113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68C1BECE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6BC1DAEC" w14:textId="77777777" w:rsidR="00622ABF" w:rsidRDefault="00622ABF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06F873C4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047DEC91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6DE9194A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>VIVIAN CAROLINA BARLIZA ILLIDGE</w:t>
      </w:r>
    </w:p>
    <w:p w14:paraId="227C28F1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>Superintendente</w:t>
      </w:r>
    </w:p>
    <w:p w14:paraId="103B5F2D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50BEE89C" w14:textId="6ACD1475" w:rsidR="00343F23" w:rsidRDefault="00D8346E" w:rsidP="00D8346E">
      <w:pPr>
        <w:suppressAutoHyphens w:val="0"/>
        <w:autoSpaceDE w:val="0"/>
        <w:autoSpaceDN w:val="0"/>
        <w:adjustRightInd w:val="0"/>
        <w:rPr>
          <w:i w:val="0"/>
          <w:sz w:val="14"/>
          <w:szCs w:val="14"/>
          <w:lang w:eastAsia="es-ES"/>
        </w:rPr>
      </w:pPr>
      <w:r>
        <w:rPr>
          <w:i w:val="0"/>
          <w:sz w:val="14"/>
          <w:szCs w:val="14"/>
          <w:lang w:eastAsia="es-ES"/>
        </w:rPr>
        <w:t>Anexo</w:t>
      </w:r>
      <w:r w:rsidR="00FD7CC5">
        <w:rPr>
          <w:i w:val="0"/>
          <w:sz w:val="14"/>
          <w:szCs w:val="14"/>
          <w:lang w:eastAsia="es-ES"/>
        </w:rPr>
        <w:t xml:space="preserve"> </w:t>
      </w:r>
      <w:r w:rsidR="00343F23">
        <w:rPr>
          <w:i w:val="0"/>
          <w:sz w:val="14"/>
          <w:szCs w:val="14"/>
          <w:lang w:eastAsia="es-ES"/>
        </w:rPr>
        <w:t>1. Ajuste de cuentas - Catálogo único de Información Financiera con Fines de Supervisión</w:t>
      </w:r>
    </w:p>
    <w:p w14:paraId="46EE8967" w14:textId="44862F30" w:rsidR="00C74D06" w:rsidRDefault="00FD7CC5" w:rsidP="00343F23">
      <w:pPr>
        <w:suppressAutoHyphens w:val="0"/>
        <w:autoSpaceDE w:val="0"/>
        <w:autoSpaceDN w:val="0"/>
        <w:adjustRightInd w:val="0"/>
        <w:rPr>
          <w:i w:val="0"/>
          <w:sz w:val="14"/>
          <w:szCs w:val="14"/>
          <w:lang w:eastAsia="es-ES"/>
        </w:rPr>
      </w:pPr>
      <w:r>
        <w:rPr>
          <w:i w:val="0"/>
          <w:sz w:val="14"/>
          <w:szCs w:val="14"/>
          <w:lang w:eastAsia="es-ES"/>
        </w:rPr>
        <w:t>Anexo</w:t>
      </w:r>
      <w:r>
        <w:rPr>
          <w:i w:val="0"/>
          <w:sz w:val="14"/>
          <w:szCs w:val="14"/>
          <w:lang w:eastAsia="es-ES"/>
        </w:rPr>
        <w:t xml:space="preserve"> </w:t>
      </w:r>
      <w:r w:rsidR="00343F23">
        <w:rPr>
          <w:i w:val="0"/>
          <w:sz w:val="14"/>
          <w:szCs w:val="14"/>
          <w:lang w:eastAsia="es-ES"/>
        </w:rPr>
        <w:t>2.</w:t>
      </w:r>
      <w:r w:rsidR="00D8346E">
        <w:rPr>
          <w:i w:val="0"/>
          <w:sz w:val="14"/>
          <w:szCs w:val="14"/>
          <w:lang w:eastAsia="es-ES"/>
        </w:rPr>
        <w:t xml:space="preserve"> Hojas Modificadas SARC</w:t>
      </w:r>
    </w:p>
    <w:p w14:paraId="481A215D" w14:textId="77777777" w:rsidR="00343F23" w:rsidRDefault="00343F23" w:rsidP="00343F23">
      <w:pPr>
        <w:suppressAutoHyphens w:val="0"/>
        <w:autoSpaceDE w:val="0"/>
        <w:autoSpaceDN w:val="0"/>
        <w:adjustRightInd w:val="0"/>
        <w:rPr>
          <w:i w:val="0"/>
          <w:sz w:val="14"/>
          <w:szCs w:val="14"/>
          <w:lang w:eastAsia="es-ES"/>
        </w:rPr>
      </w:pPr>
    </w:p>
    <w:p w14:paraId="2D7ECAAC" w14:textId="77777777" w:rsidR="00897155" w:rsidRPr="00897155" w:rsidRDefault="00897155" w:rsidP="00897155">
      <w:pPr>
        <w:pStyle w:val="Sinespaciado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Proyectó:</w:t>
      </w:r>
      <w:r>
        <w:rPr>
          <w:rFonts w:ascii="Arial" w:hAnsi="Arial" w:cs="Arial"/>
          <w:sz w:val="14"/>
          <w:szCs w:val="16"/>
          <w:lang w:val="es-ES_tradnl" w:eastAsia="es-CO"/>
        </w:rPr>
        <w:tab/>
      </w:r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Diana Marcela Forero </w:t>
      </w: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Forero</w:t>
      </w:r>
      <w:proofErr w:type="spellEnd"/>
    </w:p>
    <w:p w14:paraId="7431F2CF" w14:textId="77777777" w:rsidR="00897155" w:rsidRPr="00897155" w:rsidRDefault="00897155" w:rsidP="00897155">
      <w:pPr>
        <w:pStyle w:val="Sinespaciado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Revisó:   </w:t>
      </w:r>
      <w:r>
        <w:rPr>
          <w:rFonts w:ascii="Arial" w:hAnsi="Arial" w:cs="Arial"/>
          <w:sz w:val="14"/>
          <w:szCs w:val="16"/>
          <w:lang w:val="es-ES_tradnl" w:eastAsia="es-CO"/>
        </w:rPr>
        <w:tab/>
      </w: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Marelvi</w:t>
      </w:r>
      <w:proofErr w:type="spellEnd"/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 Bernal </w:t>
      </w: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Nempeque</w:t>
      </w:r>
      <w:proofErr w:type="spellEnd"/>
    </w:p>
    <w:p w14:paraId="3B3CF698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Carlos Adolfo Rodríguez Navarro</w:t>
      </w:r>
    </w:p>
    <w:p w14:paraId="2CCD07C0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Bernardo Ortiz Posada</w:t>
      </w:r>
    </w:p>
    <w:p w14:paraId="50AF251E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Will Robinson Vargas</w:t>
      </w:r>
    </w:p>
    <w:p w14:paraId="6A2FDDF7" w14:textId="77777777" w:rsidR="00C74D06" w:rsidRPr="00897155" w:rsidRDefault="00C74D06" w:rsidP="00C74D06">
      <w:pPr>
        <w:pStyle w:val="Sinespaciado"/>
        <w:ind w:left="708"/>
        <w:jc w:val="both"/>
        <w:rPr>
          <w:rFonts w:ascii="Arial" w:hAnsi="Arial" w:cs="Arial"/>
          <w:sz w:val="20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María Mónica Pérez López</w:t>
      </w:r>
    </w:p>
    <w:p w14:paraId="4963466A" w14:textId="77777777" w:rsidR="006B2213" w:rsidRPr="007471A2" w:rsidRDefault="0035698E" w:rsidP="007471A2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>
        <w:rPr>
          <w:rFonts w:ascii="Arial" w:hAnsi="Arial" w:cs="Arial"/>
          <w:sz w:val="14"/>
          <w:szCs w:val="16"/>
          <w:lang w:val="es-ES_tradnl" w:eastAsia="es-CO"/>
        </w:rPr>
        <w:t xml:space="preserve">Fidel </w:t>
      </w:r>
      <w:proofErr w:type="spellStart"/>
      <w:r>
        <w:rPr>
          <w:rFonts w:ascii="Arial" w:hAnsi="Arial" w:cs="Arial"/>
          <w:sz w:val="14"/>
          <w:szCs w:val="16"/>
          <w:lang w:val="es-ES_tradnl" w:eastAsia="es-CO"/>
        </w:rPr>
        <w:t>Ciendú</w:t>
      </w:r>
      <w:r w:rsidR="00622ABF" w:rsidRPr="00622ABF">
        <w:rPr>
          <w:rFonts w:ascii="Arial" w:hAnsi="Arial" w:cs="Arial"/>
          <w:sz w:val="14"/>
          <w:szCs w:val="16"/>
          <w:lang w:val="es-ES_tradnl" w:eastAsia="es-CO"/>
        </w:rPr>
        <w:t>a</w:t>
      </w:r>
      <w:proofErr w:type="spellEnd"/>
      <w:r w:rsidR="00622ABF" w:rsidRPr="00622ABF">
        <w:rPr>
          <w:rFonts w:ascii="Arial" w:hAnsi="Arial" w:cs="Arial"/>
          <w:sz w:val="14"/>
          <w:szCs w:val="16"/>
          <w:lang w:val="es-ES_tradnl" w:eastAsia="es-CO"/>
        </w:rPr>
        <w:t xml:space="preserve"> Vásquez</w:t>
      </w:r>
    </w:p>
    <w:sectPr w:rsidR="006B2213" w:rsidRPr="007471A2" w:rsidSect="00E2034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4FE5" w14:textId="77777777" w:rsidR="00B61C59" w:rsidRDefault="00B61C59">
      <w:r>
        <w:separator/>
      </w:r>
    </w:p>
  </w:endnote>
  <w:endnote w:type="continuationSeparator" w:id="0">
    <w:p w14:paraId="6CE2C8A3" w14:textId="77777777" w:rsidR="00B61C59" w:rsidRDefault="00B6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BEB4" w14:textId="77777777" w:rsidR="009B02E7" w:rsidRDefault="009B02E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8960" behindDoc="0" locked="0" layoutInCell="1" allowOverlap="1" wp14:anchorId="531D4D84" wp14:editId="2633AECD">
          <wp:simplePos x="0" y="0"/>
          <wp:positionH relativeFrom="column">
            <wp:posOffset>-1080135</wp:posOffset>
          </wp:positionH>
          <wp:positionV relativeFrom="paragraph">
            <wp:posOffset>62865</wp:posOffset>
          </wp:positionV>
          <wp:extent cx="7810500" cy="9886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4D34F" w14:textId="77777777" w:rsidR="009B02E7" w:rsidRDefault="009B02E7">
    <w:pPr>
      <w:pStyle w:val="Piedepgina"/>
    </w:pPr>
  </w:p>
  <w:p w14:paraId="323B6853" w14:textId="77777777" w:rsidR="009B02E7" w:rsidRDefault="009B02E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7C5ACE4" wp14:editId="65866611">
              <wp:simplePos x="0" y="0"/>
              <wp:positionH relativeFrom="column">
                <wp:posOffset>905672</wp:posOffset>
              </wp:positionH>
              <wp:positionV relativeFrom="paragraph">
                <wp:posOffset>121285</wp:posOffset>
              </wp:positionV>
              <wp:extent cx="6097905" cy="683895"/>
              <wp:effectExtent l="0" t="0" r="0" b="1905"/>
              <wp:wrapNone/>
              <wp:docPr id="3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790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6A3B5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PBX (1) 7 560 557.  Línea </w:t>
                          </w:r>
                          <w:proofErr w:type="spellStart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Gratuita</w:t>
                          </w:r>
                          <w:proofErr w:type="spellEnd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09634EB8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41CF94FA" w14:textId="77777777" w:rsidR="009B02E7" w:rsidRDefault="009B02E7" w:rsidP="009B02E7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5ACE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71.3pt;margin-top:9.55pt;width:480.15pt;height:5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" filled="f" stroked="f">
              <v:textbox>
                <w:txbxContent>
                  <w:p w14:paraId="7426A3B5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PBX (1) 7 560 557.  Línea </w:t>
                    </w:r>
                    <w:proofErr w:type="spellStart"/>
                    <w:r w:rsidRPr="004D7D98">
                      <w:rPr>
                        <w:i w:val="0"/>
                        <w:sz w:val="15"/>
                        <w:lang w:val="fr-FR"/>
                      </w:rPr>
                      <w:t>Gratuita</w:t>
                    </w:r>
                    <w:proofErr w:type="spellEnd"/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09634EB8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41CF94FA" w14:textId="77777777" w:rsidR="009B02E7" w:rsidRDefault="009B02E7" w:rsidP="009B02E7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C1DFDD6" w14:textId="77777777" w:rsidR="009B02E7" w:rsidRDefault="009B02E7">
    <w:pPr>
      <w:pStyle w:val="Piedepgina"/>
    </w:pPr>
  </w:p>
  <w:p w14:paraId="159FD1BD" w14:textId="77777777" w:rsidR="009B02E7" w:rsidRDefault="009B02E7">
    <w:pPr>
      <w:pStyle w:val="Piedepgina"/>
    </w:pPr>
  </w:p>
  <w:p w14:paraId="2F3DEEB7" w14:textId="77777777" w:rsidR="009B02E7" w:rsidRDefault="009B02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765" w14:textId="77777777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756B34E" wp14:editId="5429B284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849F9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PBX (1) 7 560 557.  Línea </w:t>
                          </w:r>
                          <w:proofErr w:type="spellStart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Gratuita</w:t>
                          </w:r>
                          <w:proofErr w:type="spellEnd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3DBAA55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C65797B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6B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zTu4S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C7849F9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PBX (1) 7 560 557.  Línea </w:t>
                    </w:r>
                    <w:proofErr w:type="spellStart"/>
                    <w:r w:rsidRPr="004D7D98">
                      <w:rPr>
                        <w:i w:val="0"/>
                        <w:sz w:val="15"/>
                        <w:lang w:val="fr-FR"/>
                      </w:rPr>
                      <w:t>Gratuita</w:t>
                    </w:r>
                    <w:proofErr w:type="spellEnd"/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3DBAA55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C65797B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5EB26378" wp14:editId="7C9ED38C">
          <wp:extent cx="7785735" cy="986156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457" cy="999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5849" w14:textId="77777777" w:rsidR="00B61C59" w:rsidRDefault="00B61C59">
      <w:r>
        <w:separator/>
      </w:r>
    </w:p>
  </w:footnote>
  <w:footnote w:type="continuationSeparator" w:id="0">
    <w:p w14:paraId="4F69B9E1" w14:textId="77777777" w:rsidR="00B61C59" w:rsidRDefault="00B6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A28C" w14:textId="77777777" w:rsidR="009B02E7" w:rsidRDefault="009B02E7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9BD6E6C" wp14:editId="4341EC9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5735" cy="1211580"/>
          <wp:effectExtent l="0" t="0" r="571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CB452" w14:textId="77777777" w:rsidR="009B02E7" w:rsidRDefault="009B02E7" w:rsidP="00C64ECE">
    <w:pPr>
      <w:pStyle w:val="Encabezado"/>
      <w:ind w:left="-709" w:right="-942"/>
    </w:pPr>
  </w:p>
  <w:p w14:paraId="2FAE7100" w14:textId="77777777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231E437" w14:textId="77777777" w:rsidR="000F7FD7" w:rsidRDefault="0096184E">
    <w:pPr>
      <w:ind w:right="-59"/>
      <w:rPr>
        <w:rStyle w:val="Nmerodepgina"/>
        <w:rFonts w:cs="Arial"/>
        <w:iCs/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1" w:name="numassigned_2"/>
    <w:r w:rsidR="000F7FD7">
      <w:rPr>
        <w:bCs/>
        <w:sz w:val="18"/>
        <w:szCs w:val="18"/>
        <w:lang w:val="es-ES_tradnl"/>
      </w:rPr>
      <w:t xml:space="preserve">  </w:t>
    </w:r>
    <w:bookmarkEnd w:id="1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FD70F2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FD70F2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  <w:p w14:paraId="5F0CFC4D" w14:textId="77777777" w:rsidR="00993737" w:rsidRDefault="00993737">
    <w:pPr>
      <w:ind w:right="-5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E2CE" w14:textId="77777777" w:rsidR="00B868AF" w:rsidRDefault="003C3D0E" w:rsidP="003C3D0E">
    <w:pPr>
      <w:pStyle w:val="Encabezado"/>
      <w:ind w:left="-1701" w:right="-942"/>
    </w:pPr>
    <w:r>
      <w:rPr>
        <w:noProof/>
        <w:lang w:eastAsia="es-CO"/>
      </w:rPr>
      <w:drawing>
        <wp:inline distT="0" distB="0" distL="0" distR="0" wp14:anchorId="70067FB3" wp14:editId="445DFAF3">
          <wp:extent cx="7745110" cy="1206500"/>
          <wp:effectExtent l="0" t="0" r="190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68" cy="120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8AF">
      <w:t xml:space="preserve">                                                                         </w:t>
    </w:r>
  </w:p>
  <w:p w14:paraId="6F98D778" w14:textId="77777777" w:rsidR="000F7FD7" w:rsidRPr="00FA17E0" w:rsidRDefault="000F7FD7" w:rsidP="00EC3A42">
    <w:pPr>
      <w:pStyle w:val="Ttulo1"/>
      <w:rPr>
        <w:sz w:val="22"/>
        <w:szCs w:val="22"/>
      </w:rPr>
    </w:pPr>
  </w:p>
  <w:p w14:paraId="558F003E" w14:textId="77777777" w:rsidR="00EC3A42" w:rsidRDefault="00EC3A42" w:rsidP="00EC3A42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CIRCULAR EXTERNA No.</w:t>
    </w:r>
    <w:r w:rsidR="00AD1E04" w:rsidRPr="00AD1E04">
      <w:rPr>
        <w:noProof/>
        <w:lang w:val="es-ES" w:eastAsia="es-ES"/>
      </w:rPr>
      <w:t xml:space="preserve"> </w:t>
    </w:r>
    <w:r>
      <w:rPr>
        <w:sz w:val="28"/>
        <w:szCs w:val="28"/>
      </w:rPr>
      <w:t xml:space="preserve"> </w:t>
    </w:r>
    <w:bookmarkStart w:id="2" w:name="numassigned"/>
    <w:r>
      <w:rPr>
        <w:sz w:val="28"/>
        <w:szCs w:val="28"/>
      </w:rPr>
      <w:t xml:space="preserve">  </w:t>
    </w:r>
    <w:bookmarkEnd w:id="2"/>
  </w:p>
  <w:p w14:paraId="6A0928DB" w14:textId="77777777" w:rsidR="00EC3A42" w:rsidRDefault="00EC3A42" w:rsidP="00EC3A42">
    <w:pPr>
      <w:rPr>
        <w:b/>
        <w:bCs/>
        <w:i w:val="0"/>
      </w:rPr>
    </w:pPr>
  </w:p>
  <w:p w14:paraId="7C714DB2" w14:textId="77777777" w:rsidR="00EC3A42" w:rsidRDefault="00EC3A42" w:rsidP="00EC3A42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6"/>
      <w:gridCol w:w="7737"/>
    </w:tblGrid>
    <w:tr w:rsidR="00EC3A42" w14:paraId="78FB0360" w14:textId="77777777" w:rsidTr="00DD2F81">
      <w:tc>
        <w:tcPr>
          <w:tcW w:w="1526" w:type="dxa"/>
        </w:tcPr>
        <w:p w14:paraId="21BE9456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274D65A9" w14:textId="77777777" w:rsidR="00EC3A42" w:rsidRDefault="00035833" w:rsidP="00993737">
          <w:pPr>
            <w:jc w:val="both"/>
            <w:rPr>
              <w:b/>
              <w:bCs/>
              <w:i w:val="0"/>
              <w:sz w:val="22"/>
              <w:szCs w:val="22"/>
            </w:rPr>
          </w:pPr>
          <w:r w:rsidRPr="00035833">
            <w:rPr>
              <w:b/>
              <w:bCs/>
              <w:i w:val="0"/>
              <w:sz w:val="22"/>
              <w:szCs w:val="22"/>
            </w:rPr>
            <w:t>REPRESENTANTES LEGALES, MIEMBROS DE LOS ÓRGANOS DE ADMINISTRACIÓN, DE CONTROL SOCIAL Y REVISORES FISCALES DE LAS ORGANIZACIONES DE ECONOMIA SOLIDARIA VIGILADAS</w:t>
          </w:r>
        </w:p>
        <w:p w14:paraId="5F41C3A2" w14:textId="77777777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2C10CE8C" w14:textId="77777777" w:rsidTr="00DD2F81">
      <w:tc>
        <w:tcPr>
          <w:tcW w:w="1526" w:type="dxa"/>
        </w:tcPr>
        <w:p w14:paraId="50BD7ECC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10B63AF1" w14:textId="77777777" w:rsidR="00EC3A42" w:rsidRDefault="00035833" w:rsidP="00EC3A42">
          <w:pPr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SUPERINTENDENTE</w:t>
          </w:r>
        </w:p>
        <w:p w14:paraId="39FFF96E" w14:textId="77777777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1F2C6B83" w14:textId="77777777" w:rsidTr="00DD2F81">
      <w:tc>
        <w:tcPr>
          <w:tcW w:w="1526" w:type="dxa"/>
        </w:tcPr>
        <w:p w14:paraId="1BD0A5AE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2E70CF5E" w14:textId="77777777" w:rsidR="00EC3A42" w:rsidRDefault="00A051FE" w:rsidP="00993737">
          <w:pPr>
            <w:jc w:val="both"/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 xml:space="preserve">MODIFICACIÓN DEL FORMULARIO OFICIAL DE RENDICIÓN DE CUENTAS Y DE </w:t>
          </w:r>
          <w:r w:rsidR="00E97143">
            <w:rPr>
              <w:b/>
              <w:bCs/>
              <w:i w:val="0"/>
              <w:sz w:val="22"/>
              <w:szCs w:val="22"/>
            </w:rPr>
            <w:t>ALGUNOS LINEAMIENTOS IMPARTIDOS EN EL CAPITULO II, DEL TITULO IV, DE LA CIRCULAR BASICA CONTABLE Y FINANCIERA</w:t>
          </w:r>
          <w:r w:rsidR="006D692B">
            <w:rPr>
              <w:b/>
              <w:bCs/>
              <w:i w:val="0"/>
              <w:sz w:val="22"/>
              <w:szCs w:val="22"/>
            </w:rPr>
            <w:t>.</w:t>
          </w:r>
        </w:p>
        <w:p w14:paraId="38D003BE" w14:textId="77777777" w:rsidR="00035833" w:rsidRPr="007922E4" w:rsidRDefault="00035833" w:rsidP="00993737">
          <w:pPr>
            <w:jc w:val="both"/>
            <w:rPr>
              <w:b/>
              <w:bCs/>
              <w:i w:val="0"/>
            </w:rPr>
          </w:pPr>
        </w:p>
      </w:tc>
    </w:tr>
    <w:tr w:rsidR="00EC3A42" w14:paraId="0A75D962" w14:textId="77777777" w:rsidTr="00DD2F81">
      <w:tc>
        <w:tcPr>
          <w:tcW w:w="1526" w:type="dxa"/>
        </w:tcPr>
        <w:p w14:paraId="0625521E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60CBEDFC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 xml:space="preserve">Bogotá D.C., </w:t>
          </w:r>
          <w:bookmarkStart w:id="3" w:name="fecassignedlong"/>
          <w:r w:rsidRPr="007922E4">
            <w:rPr>
              <w:b/>
              <w:bCs/>
              <w:i w:val="0"/>
              <w:sz w:val="22"/>
              <w:szCs w:val="22"/>
            </w:rPr>
            <w:t xml:space="preserve">  </w:t>
          </w:r>
          <w:bookmarkEnd w:id="3"/>
        </w:p>
      </w:tc>
    </w:tr>
  </w:tbl>
  <w:p w14:paraId="6621293D" w14:textId="77777777" w:rsidR="00EC3A42" w:rsidRDefault="00EC3A42" w:rsidP="00EC3A42">
    <w:pPr>
      <w:rPr>
        <w:b/>
        <w:bCs/>
        <w:i w:val="0"/>
      </w:rPr>
    </w:pPr>
  </w:p>
  <w:p w14:paraId="2138028C" w14:textId="77777777" w:rsidR="00EC3A42" w:rsidRDefault="00073528" w:rsidP="00EC3A42">
    <w:pPr>
      <w:rPr>
        <w:b/>
        <w:bCs/>
        <w:i w:val="0"/>
        <w:sz w:val="22"/>
        <w:szCs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711F1B" wp14:editId="62C33F0D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4D137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" strokeweight="4.5pt">
              <v:stroke linestyle="thinThick"/>
              <w10:wrap type="topAndBottom"/>
            </v:line>
          </w:pict>
        </mc:Fallback>
      </mc:AlternateContent>
    </w:r>
  </w:p>
  <w:p w14:paraId="7CC67239" w14:textId="77777777" w:rsidR="00EC3A42" w:rsidRDefault="00EC3A42" w:rsidP="00EC3A42">
    <w:pPr>
      <w:ind w:right="-59"/>
      <w:rPr>
        <w:bCs/>
        <w:sz w:val="18"/>
        <w:szCs w:val="18"/>
        <w:lang w:val="es-ES_tradnl"/>
      </w:rPr>
    </w:pPr>
  </w:p>
  <w:p w14:paraId="6418EBD7" w14:textId="77777777" w:rsidR="00EC3A42" w:rsidRDefault="0096184E" w:rsidP="00EC3A42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EC3A42">
      <w:rPr>
        <w:bCs/>
        <w:sz w:val="18"/>
        <w:szCs w:val="18"/>
        <w:lang w:val="es-ES_tradnl"/>
      </w:rPr>
      <w:t xml:space="preserve"> - Circular Externa No. </w:t>
    </w:r>
    <w:bookmarkStart w:id="4" w:name="numassigned_1"/>
    <w:r w:rsidR="00EC3A42">
      <w:rPr>
        <w:bCs/>
        <w:sz w:val="18"/>
        <w:szCs w:val="18"/>
        <w:lang w:val="es-ES_tradnl"/>
      </w:rPr>
      <w:t xml:space="preserve">  </w:t>
    </w:r>
    <w:bookmarkEnd w:id="4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EC3A42">
      <w:rPr>
        <w:rStyle w:val="Nmerodepgina"/>
        <w:rFonts w:cs="Arial"/>
        <w:iCs/>
        <w:sz w:val="18"/>
        <w:szCs w:val="18"/>
      </w:rPr>
      <w:t xml:space="preserve">Página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PAGE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FD70F2">
      <w:rPr>
        <w:rStyle w:val="Nmerodepgina"/>
        <w:rFonts w:cs="Arial"/>
        <w:iCs/>
        <w:noProof/>
        <w:sz w:val="18"/>
        <w:szCs w:val="18"/>
      </w:rPr>
      <w:t>1</w:t>
    </w:r>
    <w:r w:rsidR="00EC3A42">
      <w:rPr>
        <w:rStyle w:val="Nmerodepgina"/>
        <w:rFonts w:cs="Arial"/>
        <w:iCs/>
        <w:sz w:val="18"/>
        <w:szCs w:val="18"/>
      </w:rPr>
      <w:fldChar w:fldCharType="end"/>
    </w:r>
    <w:r w:rsidR="00EC3A42">
      <w:rPr>
        <w:rStyle w:val="Nmerodepgina"/>
        <w:rFonts w:cs="Arial"/>
        <w:iCs/>
        <w:sz w:val="18"/>
        <w:szCs w:val="18"/>
      </w:rPr>
      <w:t xml:space="preserve"> de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NUMPAGES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FD70F2">
      <w:rPr>
        <w:rStyle w:val="Nmerodepgina"/>
        <w:rFonts w:cs="Arial"/>
        <w:iCs/>
        <w:noProof/>
        <w:sz w:val="18"/>
        <w:szCs w:val="18"/>
      </w:rPr>
      <w:t>2</w:t>
    </w:r>
    <w:r w:rsidR="00EC3A42">
      <w:rPr>
        <w:rStyle w:val="Nmerodepgina"/>
        <w:rFonts w:cs="Arial"/>
        <w:iCs/>
        <w:sz w:val="18"/>
        <w:szCs w:val="18"/>
      </w:rPr>
      <w:fldChar w:fldCharType="end"/>
    </w:r>
  </w:p>
  <w:p w14:paraId="2B1C901E" w14:textId="77777777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75E366D"/>
    <w:multiLevelType w:val="hybridMultilevel"/>
    <w:tmpl w:val="875C5520"/>
    <w:lvl w:ilvl="0" w:tplc="1F4AB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4A92151"/>
    <w:multiLevelType w:val="hybridMultilevel"/>
    <w:tmpl w:val="79EA98D2"/>
    <w:lvl w:ilvl="0" w:tplc="5A9691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79A"/>
    <w:multiLevelType w:val="hybridMultilevel"/>
    <w:tmpl w:val="F506A7FE"/>
    <w:lvl w:ilvl="0" w:tplc="67860E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3A0"/>
    <w:multiLevelType w:val="multilevel"/>
    <w:tmpl w:val="112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65E6E"/>
    <w:multiLevelType w:val="hybridMultilevel"/>
    <w:tmpl w:val="292AB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333A6"/>
    <w:multiLevelType w:val="hybridMultilevel"/>
    <w:tmpl w:val="12AE1DC2"/>
    <w:lvl w:ilvl="0" w:tplc="A60203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,Bold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2189B"/>
    <w:multiLevelType w:val="hybridMultilevel"/>
    <w:tmpl w:val="72ACBF20"/>
    <w:lvl w:ilvl="0" w:tplc="B6243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B4941"/>
    <w:multiLevelType w:val="hybridMultilevel"/>
    <w:tmpl w:val="2A742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75EA"/>
    <w:multiLevelType w:val="hybridMultilevel"/>
    <w:tmpl w:val="090EC966"/>
    <w:lvl w:ilvl="0" w:tplc="FE56B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E832DB"/>
    <w:multiLevelType w:val="hybridMultilevel"/>
    <w:tmpl w:val="CE4CCBFA"/>
    <w:lvl w:ilvl="0" w:tplc="CBC00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1A"/>
    <w:rsid w:val="00006165"/>
    <w:rsid w:val="0001093F"/>
    <w:rsid w:val="0002042E"/>
    <w:rsid w:val="00023368"/>
    <w:rsid w:val="00025A12"/>
    <w:rsid w:val="000315A7"/>
    <w:rsid w:val="00032516"/>
    <w:rsid w:val="00035833"/>
    <w:rsid w:val="000370E0"/>
    <w:rsid w:val="0006180E"/>
    <w:rsid w:val="0006485E"/>
    <w:rsid w:val="00067BEA"/>
    <w:rsid w:val="00070A39"/>
    <w:rsid w:val="00070BC6"/>
    <w:rsid w:val="0007168A"/>
    <w:rsid w:val="00073528"/>
    <w:rsid w:val="00090BFD"/>
    <w:rsid w:val="0009535C"/>
    <w:rsid w:val="000954A0"/>
    <w:rsid w:val="000977CF"/>
    <w:rsid w:val="000A3BCF"/>
    <w:rsid w:val="000B1429"/>
    <w:rsid w:val="000C0C1F"/>
    <w:rsid w:val="000C58D4"/>
    <w:rsid w:val="000D02DD"/>
    <w:rsid w:val="000E2344"/>
    <w:rsid w:val="000E4ECE"/>
    <w:rsid w:val="000F5004"/>
    <w:rsid w:val="000F7FD7"/>
    <w:rsid w:val="0010191A"/>
    <w:rsid w:val="00101F7B"/>
    <w:rsid w:val="001134AA"/>
    <w:rsid w:val="00117175"/>
    <w:rsid w:val="00130410"/>
    <w:rsid w:val="00136DC8"/>
    <w:rsid w:val="00145DCA"/>
    <w:rsid w:val="00150D45"/>
    <w:rsid w:val="0015347C"/>
    <w:rsid w:val="0016084B"/>
    <w:rsid w:val="00170750"/>
    <w:rsid w:val="001738F5"/>
    <w:rsid w:val="00191626"/>
    <w:rsid w:val="00195D10"/>
    <w:rsid w:val="001A06C3"/>
    <w:rsid w:val="001B2992"/>
    <w:rsid w:val="001B6D00"/>
    <w:rsid w:val="001C65B7"/>
    <w:rsid w:val="001D2B49"/>
    <w:rsid w:val="00201EB1"/>
    <w:rsid w:val="00203587"/>
    <w:rsid w:val="002066B7"/>
    <w:rsid w:val="00207D1D"/>
    <w:rsid w:val="002114D6"/>
    <w:rsid w:val="00211A99"/>
    <w:rsid w:val="00221CDF"/>
    <w:rsid w:val="00224B22"/>
    <w:rsid w:val="002372ED"/>
    <w:rsid w:val="00245469"/>
    <w:rsid w:val="00250606"/>
    <w:rsid w:val="00254439"/>
    <w:rsid w:val="0026227A"/>
    <w:rsid w:val="0026518F"/>
    <w:rsid w:val="0028177F"/>
    <w:rsid w:val="0028184C"/>
    <w:rsid w:val="00285323"/>
    <w:rsid w:val="00291540"/>
    <w:rsid w:val="002E405D"/>
    <w:rsid w:val="002E60BF"/>
    <w:rsid w:val="002F2618"/>
    <w:rsid w:val="003035F4"/>
    <w:rsid w:val="00307A89"/>
    <w:rsid w:val="00325A55"/>
    <w:rsid w:val="00334A80"/>
    <w:rsid w:val="00337EBC"/>
    <w:rsid w:val="00343F23"/>
    <w:rsid w:val="00344816"/>
    <w:rsid w:val="0035494A"/>
    <w:rsid w:val="003563C1"/>
    <w:rsid w:val="0035698E"/>
    <w:rsid w:val="00356E72"/>
    <w:rsid w:val="003619E6"/>
    <w:rsid w:val="00366D55"/>
    <w:rsid w:val="00374BF5"/>
    <w:rsid w:val="003830E7"/>
    <w:rsid w:val="00390900"/>
    <w:rsid w:val="003979D2"/>
    <w:rsid w:val="003A3492"/>
    <w:rsid w:val="003B059B"/>
    <w:rsid w:val="003B0DFE"/>
    <w:rsid w:val="003C3D0E"/>
    <w:rsid w:val="003C3E15"/>
    <w:rsid w:val="003C7B83"/>
    <w:rsid w:val="003D1C9B"/>
    <w:rsid w:val="003D61CC"/>
    <w:rsid w:val="003E3473"/>
    <w:rsid w:val="003E6DAB"/>
    <w:rsid w:val="00403E42"/>
    <w:rsid w:val="0041110A"/>
    <w:rsid w:val="00414A01"/>
    <w:rsid w:val="00420671"/>
    <w:rsid w:val="00425E2C"/>
    <w:rsid w:val="004311DD"/>
    <w:rsid w:val="00433279"/>
    <w:rsid w:val="00437C38"/>
    <w:rsid w:val="00442F19"/>
    <w:rsid w:val="004478D6"/>
    <w:rsid w:val="00461C9B"/>
    <w:rsid w:val="00490FF9"/>
    <w:rsid w:val="004A0367"/>
    <w:rsid w:val="004D1BF4"/>
    <w:rsid w:val="004D23D7"/>
    <w:rsid w:val="004D7D98"/>
    <w:rsid w:val="004F0AF9"/>
    <w:rsid w:val="004F507D"/>
    <w:rsid w:val="004F7A3D"/>
    <w:rsid w:val="00505BC3"/>
    <w:rsid w:val="00507BF0"/>
    <w:rsid w:val="00513A09"/>
    <w:rsid w:val="005177FE"/>
    <w:rsid w:val="00522339"/>
    <w:rsid w:val="00524C09"/>
    <w:rsid w:val="005268AF"/>
    <w:rsid w:val="00532D24"/>
    <w:rsid w:val="00533C37"/>
    <w:rsid w:val="00546DC4"/>
    <w:rsid w:val="005542F0"/>
    <w:rsid w:val="00565D34"/>
    <w:rsid w:val="00567F51"/>
    <w:rsid w:val="0057212C"/>
    <w:rsid w:val="00584A68"/>
    <w:rsid w:val="00585623"/>
    <w:rsid w:val="005A0040"/>
    <w:rsid w:val="005A6F1F"/>
    <w:rsid w:val="005E21A3"/>
    <w:rsid w:val="005E5D43"/>
    <w:rsid w:val="005F5682"/>
    <w:rsid w:val="00603567"/>
    <w:rsid w:val="006075E4"/>
    <w:rsid w:val="006164C0"/>
    <w:rsid w:val="00622375"/>
    <w:rsid w:val="00622ABF"/>
    <w:rsid w:val="00623364"/>
    <w:rsid w:val="0063388A"/>
    <w:rsid w:val="00643859"/>
    <w:rsid w:val="0065307B"/>
    <w:rsid w:val="00657770"/>
    <w:rsid w:val="00657E30"/>
    <w:rsid w:val="006646E0"/>
    <w:rsid w:val="0066566A"/>
    <w:rsid w:val="00670D1D"/>
    <w:rsid w:val="00672367"/>
    <w:rsid w:val="006962CA"/>
    <w:rsid w:val="00696F6D"/>
    <w:rsid w:val="006A06AF"/>
    <w:rsid w:val="006A101A"/>
    <w:rsid w:val="006A1B4A"/>
    <w:rsid w:val="006A3D26"/>
    <w:rsid w:val="006A4EE0"/>
    <w:rsid w:val="006B2104"/>
    <w:rsid w:val="006B2213"/>
    <w:rsid w:val="006C1BB7"/>
    <w:rsid w:val="006C479A"/>
    <w:rsid w:val="006D52E7"/>
    <w:rsid w:val="006D692B"/>
    <w:rsid w:val="006E212F"/>
    <w:rsid w:val="006E6096"/>
    <w:rsid w:val="006F2374"/>
    <w:rsid w:val="006F3625"/>
    <w:rsid w:val="006F4557"/>
    <w:rsid w:val="0070063F"/>
    <w:rsid w:val="0070353C"/>
    <w:rsid w:val="007060DD"/>
    <w:rsid w:val="007136D8"/>
    <w:rsid w:val="00721247"/>
    <w:rsid w:val="00731EE9"/>
    <w:rsid w:val="007428BE"/>
    <w:rsid w:val="007471A2"/>
    <w:rsid w:val="007603FD"/>
    <w:rsid w:val="007611E6"/>
    <w:rsid w:val="00763287"/>
    <w:rsid w:val="00773ACA"/>
    <w:rsid w:val="007922E4"/>
    <w:rsid w:val="007B0A34"/>
    <w:rsid w:val="007B0FF5"/>
    <w:rsid w:val="007C178A"/>
    <w:rsid w:val="007C24A8"/>
    <w:rsid w:val="007D6ED2"/>
    <w:rsid w:val="007F464E"/>
    <w:rsid w:val="007F4E28"/>
    <w:rsid w:val="007F6590"/>
    <w:rsid w:val="008027AC"/>
    <w:rsid w:val="00814C4E"/>
    <w:rsid w:val="00822CDF"/>
    <w:rsid w:val="0082573D"/>
    <w:rsid w:val="008372F5"/>
    <w:rsid w:val="00854B41"/>
    <w:rsid w:val="008563F9"/>
    <w:rsid w:val="00856ADF"/>
    <w:rsid w:val="00857C4C"/>
    <w:rsid w:val="008731A8"/>
    <w:rsid w:val="00876E06"/>
    <w:rsid w:val="00883F53"/>
    <w:rsid w:val="00897155"/>
    <w:rsid w:val="008B0368"/>
    <w:rsid w:val="008B335A"/>
    <w:rsid w:val="008C7325"/>
    <w:rsid w:val="008D6CB3"/>
    <w:rsid w:val="008E7387"/>
    <w:rsid w:val="00903C42"/>
    <w:rsid w:val="009116D4"/>
    <w:rsid w:val="00912D15"/>
    <w:rsid w:val="00915F5C"/>
    <w:rsid w:val="0091654A"/>
    <w:rsid w:val="00921409"/>
    <w:rsid w:val="00922319"/>
    <w:rsid w:val="009543D8"/>
    <w:rsid w:val="00960939"/>
    <w:rsid w:val="0096184E"/>
    <w:rsid w:val="009631D5"/>
    <w:rsid w:val="0097365A"/>
    <w:rsid w:val="0098441A"/>
    <w:rsid w:val="00985C72"/>
    <w:rsid w:val="00993737"/>
    <w:rsid w:val="00995701"/>
    <w:rsid w:val="009A285A"/>
    <w:rsid w:val="009B02E7"/>
    <w:rsid w:val="009B2293"/>
    <w:rsid w:val="009C7158"/>
    <w:rsid w:val="009D200C"/>
    <w:rsid w:val="009D3504"/>
    <w:rsid w:val="009D5092"/>
    <w:rsid w:val="009D602B"/>
    <w:rsid w:val="009E48A6"/>
    <w:rsid w:val="009F0DFC"/>
    <w:rsid w:val="009F3FEE"/>
    <w:rsid w:val="00A04A27"/>
    <w:rsid w:val="00A051FE"/>
    <w:rsid w:val="00A07251"/>
    <w:rsid w:val="00A12F16"/>
    <w:rsid w:val="00A14DB9"/>
    <w:rsid w:val="00A2658D"/>
    <w:rsid w:val="00A56B49"/>
    <w:rsid w:val="00A614BB"/>
    <w:rsid w:val="00A671E6"/>
    <w:rsid w:val="00A7064C"/>
    <w:rsid w:val="00A76C81"/>
    <w:rsid w:val="00A86CE5"/>
    <w:rsid w:val="00A94BB6"/>
    <w:rsid w:val="00AA69FC"/>
    <w:rsid w:val="00AB6FFA"/>
    <w:rsid w:val="00AC1F0C"/>
    <w:rsid w:val="00AD1E04"/>
    <w:rsid w:val="00AF1E06"/>
    <w:rsid w:val="00AF1FC2"/>
    <w:rsid w:val="00B116F3"/>
    <w:rsid w:val="00B16EEE"/>
    <w:rsid w:val="00B37656"/>
    <w:rsid w:val="00B52CDB"/>
    <w:rsid w:val="00B61C59"/>
    <w:rsid w:val="00B62C65"/>
    <w:rsid w:val="00B631A6"/>
    <w:rsid w:val="00B730EC"/>
    <w:rsid w:val="00B74157"/>
    <w:rsid w:val="00B760B3"/>
    <w:rsid w:val="00B868AF"/>
    <w:rsid w:val="00BA208F"/>
    <w:rsid w:val="00BB5894"/>
    <w:rsid w:val="00BB6319"/>
    <w:rsid w:val="00BD0B3A"/>
    <w:rsid w:val="00BD17A4"/>
    <w:rsid w:val="00BD1A84"/>
    <w:rsid w:val="00BF3323"/>
    <w:rsid w:val="00BF4A5A"/>
    <w:rsid w:val="00C14F11"/>
    <w:rsid w:val="00C25BF9"/>
    <w:rsid w:val="00C32455"/>
    <w:rsid w:val="00C4031D"/>
    <w:rsid w:val="00C64ECE"/>
    <w:rsid w:val="00C74D06"/>
    <w:rsid w:val="00C75B4B"/>
    <w:rsid w:val="00C82504"/>
    <w:rsid w:val="00C91960"/>
    <w:rsid w:val="00CA55A0"/>
    <w:rsid w:val="00CB26C5"/>
    <w:rsid w:val="00CC253B"/>
    <w:rsid w:val="00CC613B"/>
    <w:rsid w:val="00CE570F"/>
    <w:rsid w:val="00CE6D4B"/>
    <w:rsid w:val="00CF0B1E"/>
    <w:rsid w:val="00CF6B32"/>
    <w:rsid w:val="00D32E5E"/>
    <w:rsid w:val="00D40BD2"/>
    <w:rsid w:val="00D45793"/>
    <w:rsid w:val="00D54A55"/>
    <w:rsid w:val="00D65ED9"/>
    <w:rsid w:val="00D663AF"/>
    <w:rsid w:val="00D8346E"/>
    <w:rsid w:val="00DB7D90"/>
    <w:rsid w:val="00DC2B87"/>
    <w:rsid w:val="00DE2D06"/>
    <w:rsid w:val="00DF75B2"/>
    <w:rsid w:val="00DF7BA9"/>
    <w:rsid w:val="00E023EE"/>
    <w:rsid w:val="00E06540"/>
    <w:rsid w:val="00E14CE7"/>
    <w:rsid w:val="00E15635"/>
    <w:rsid w:val="00E15CA8"/>
    <w:rsid w:val="00E20347"/>
    <w:rsid w:val="00E37B5D"/>
    <w:rsid w:val="00E500F8"/>
    <w:rsid w:val="00E5082A"/>
    <w:rsid w:val="00E6569B"/>
    <w:rsid w:val="00E7790F"/>
    <w:rsid w:val="00E83094"/>
    <w:rsid w:val="00E91C8F"/>
    <w:rsid w:val="00E97143"/>
    <w:rsid w:val="00EB7284"/>
    <w:rsid w:val="00EC3A42"/>
    <w:rsid w:val="00EF5A7E"/>
    <w:rsid w:val="00F13B6B"/>
    <w:rsid w:val="00F14086"/>
    <w:rsid w:val="00F23102"/>
    <w:rsid w:val="00F3485A"/>
    <w:rsid w:val="00F46734"/>
    <w:rsid w:val="00F47814"/>
    <w:rsid w:val="00F47ABD"/>
    <w:rsid w:val="00F517DF"/>
    <w:rsid w:val="00F61626"/>
    <w:rsid w:val="00F81FAD"/>
    <w:rsid w:val="00F965EC"/>
    <w:rsid w:val="00FA0C7C"/>
    <w:rsid w:val="00FA17E0"/>
    <w:rsid w:val="00FA2E8D"/>
    <w:rsid w:val="00FB157E"/>
    <w:rsid w:val="00FB79B2"/>
    <w:rsid w:val="00FD70F2"/>
    <w:rsid w:val="00FD757D"/>
    <w:rsid w:val="00FD7CC5"/>
    <w:rsid w:val="00FE2679"/>
    <w:rsid w:val="00FE665F"/>
    <w:rsid w:val="00FF1E5E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0734BCE"/>
  <w15:docId w15:val="{83186985-4705-4A17-AE63-3FFF1CF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Sinespaciado">
    <w:name w:val="No Spacing"/>
    <w:uiPriority w:val="1"/>
    <w:qFormat/>
    <w:rsid w:val="00245469"/>
    <w:rPr>
      <w:rFonts w:asciiTheme="minorHAnsi" w:eastAsiaTheme="minorHAnsi" w:hAnsiTheme="minorHAnsi" w:cstheme="minorBidi"/>
      <w:lang w:val="es-CO" w:eastAsia="en-US"/>
    </w:rPr>
  </w:style>
  <w:style w:type="paragraph" w:styleId="Textonotapie">
    <w:name w:val="footnote text"/>
    <w:basedOn w:val="Normal"/>
    <w:link w:val="TextonotapieCar"/>
    <w:semiHidden/>
    <w:unhideWhenUsed/>
    <w:rsid w:val="00245469"/>
    <w:pPr>
      <w:suppressAutoHyphens w:val="0"/>
    </w:pPr>
    <w:rPr>
      <w:rFonts w:ascii="Calibri" w:hAnsi="Calibri" w:cs="Times New Roman"/>
      <w:i w:val="0"/>
      <w:sz w:val="20"/>
      <w:szCs w:val="20"/>
      <w:lang w:val="en-US" w:eastAsia="es-CO" w:bidi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45469"/>
    <w:rPr>
      <w:rFonts w:ascii="Calibri" w:hAnsi="Calibri"/>
      <w:sz w:val="20"/>
      <w:szCs w:val="20"/>
      <w:lang w:val="en-US" w:eastAsia="es-CO"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45469"/>
    <w:rPr>
      <w:sz w:val="24"/>
      <w:szCs w:val="24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245469"/>
    <w:pPr>
      <w:suppressAutoHyphens w:val="0"/>
      <w:ind w:left="720"/>
      <w:contextualSpacing/>
    </w:pPr>
    <w:rPr>
      <w:rFonts w:ascii="Times New Roman" w:hAnsi="Times New Roman" w:cs="Times New Roman"/>
      <w:i w:val="0"/>
      <w:lang w:eastAsia="es-CO"/>
    </w:rPr>
  </w:style>
  <w:style w:type="character" w:styleId="Refdenotaalpie">
    <w:name w:val="footnote reference"/>
    <w:semiHidden/>
    <w:unhideWhenUsed/>
    <w:rsid w:val="0024546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4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410"/>
    <w:rPr>
      <w:rFonts w:ascii="Arial" w:hAnsi="Arial" w:cs="Arial"/>
      <w:b/>
      <w:bCs/>
      <w:i/>
      <w:sz w:val="20"/>
      <w:szCs w:val="20"/>
      <w:lang w:val="es-CO" w:eastAsia="ar-SA" w:bidi="ar-SA"/>
    </w:rPr>
  </w:style>
  <w:style w:type="paragraph" w:styleId="Revisin">
    <w:name w:val="Revision"/>
    <w:hidden/>
    <w:uiPriority w:val="99"/>
    <w:semiHidden/>
    <w:rsid w:val="003C7B83"/>
    <w:rPr>
      <w:rFonts w:ascii="Arial" w:hAnsi="Arial" w:cs="Arial"/>
      <w:i/>
      <w:sz w:val="24"/>
      <w:szCs w:val="24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2D09-4141-46F2-A9EB-20A33E21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Diana Marcela Forero Forero</cp:lastModifiedBy>
  <cp:revision>5</cp:revision>
  <cp:lastPrinted>2007-11-17T22:44:00Z</cp:lastPrinted>
  <dcterms:created xsi:type="dcterms:W3CDTF">2023-05-17T19:26:00Z</dcterms:created>
  <dcterms:modified xsi:type="dcterms:W3CDTF">2023-05-17T20:23:00Z</dcterms:modified>
</cp:coreProperties>
</file>