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15B87B" w14:textId="371B7DA0" w:rsidR="00E54D92" w:rsidRPr="009250A9" w:rsidRDefault="00E54D92" w:rsidP="009250A9">
      <w:pPr>
        <w:jc w:val="both"/>
        <w:rPr>
          <w:rFonts w:eastAsiaTheme="minorHAnsi"/>
          <w:i w:val="0"/>
          <w:sz w:val="22"/>
          <w:szCs w:val="22"/>
          <w:lang w:eastAsia="en-US"/>
        </w:rPr>
      </w:pPr>
      <w:r w:rsidRPr="009250A9">
        <w:rPr>
          <w:rFonts w:eastAsiaTheme="minorHAnsi"/>
          <w:i w:val="0"/>
          <w:sz w:val="22"/>
          <w:szCs w:val="22"/>
          <w:lang w:eastAsia="en-US"/>
        </w:rPr>
        <w:t>La Superintendencia de la Economía Solidaria a través de la Circular Externa 22 del 28 de diciembre de 2020, expidió la Circular Básica Contable y Financiera</w:t>
      </w:r>
      <w:r w:rsidR="00B76AD8" w:rsidRPr="009250A9">
        <w:rPr>
          <w:rFonts w:eastAsiaTheme="minorHAnsi"/>
          <w:i w:val="0"/>
          <w:sz w:val="22"/>
          <w:szCs w:val="22"/>
          <w:lang w:eastAsia="en-US"/>
        </w:rPr>
        <w:t>,</w:t>
      </w:r>
      <w:r w:rsidRPr="009250A9">
        <w:rPr>
          <w:rFonts w:eastAsiaTheme="minorHAnsi"/>
          <w:i w:val="0"/>
          <w:sz w:val="22"/>
          <w:szCs w:val="22"/>
          <w:lang w:eastAsia="en-US"/>
        </w:rPr>
        <w:t xml:space="preserve"> incluyendo en el Título IV, Capítulo II, instrucciones sobre el Sistema de Administración de Riesgo de Crédito, SARC, así como el Anexo 1 con las consideraciones para la calificación y deterioro de la cartera de crédito y el Anexo 2 sobre los modelos de referencia para la estimación de las pérdidas esperadas.   Asimismo, en el Capítulo II ibídem se incorporaron mecanismos bajo los cuales las organizaciones solidarias y sus asociados, pueden realizar cambios en las condiciones inicialmente pactadas de los créditos ante escenarios de incertidumbre financiera, que propendan por mantener el adecuado pago de las obligaciones. </w:t>
      </w:r>
    </w:p>
    <w:p w14:paraId="29A008FF" w14:textId="77777777" w:rsidR="00E54D92" w:rsidRPr="009250A9" w:rsidRDefault="00E54D92" w:rsidP="009250A9">
      <w:pPr>
        <w:jc w:val="both"/>
        <w:rPr>
          <w:rFonts w:eastAsiaTheme="minorHAnsi"/>
          <w:i w:val="0"/>
          <w:sz w:val="22"/>
          <w:szCs w:val="22"/>
          <w:lang w:eastAsia="en-US"/>
        </w:rPr>
      </w:pPr>
    </w:p>
    <w:p w14:paraId="6DF6D1A9" w14:textId="52668577" w:rsidR="00755F2F" w:rsidRPr="009250A9" w:rsidRDefault="00407B86" w:rsidP="009250A9">
      <w:pPr>
        <w:jc w:val="both"/>
        <w:rPr>
          <w:rFonts w:eastAsiaTheme="minorHAnsi"/>
          <w:i w:val="0"/>
          <w:sz w:val="22"/>
          <w:szCs w:val="22"/>
          <w:lang w:eastAsia="en-US"/>
        </w:rPr>
      </w:pPr>
      <w:r w:rsidRPr="009250A9">
        <w:rPr>
          <w:rFonts w:eastAsiaTheme="minorHAnsi"/>
          <w:i w:val="0"/>
          <w:sz w:val="22"/>
          <w:szCs w:val="22"/>
          <w:lang w:eastAsia="en-US"/>
        </w:rPr>
        <w:t>Ahora bien, l</w:t>
      </w:r>
      <w:r w:rsidR="00755F2F" w:rsidRPr="009250A9">
        <w:rPr>
          <w:rFonts w:eastAsiaTheme="minorHAnsi"/>
          <w:i w:val="0"/>
          <w:sz w:val="22"/>
          <w:szCs w:val="22"/>
          <w:lang w:eastAsia="en-US"/>
        </w:rPr>
        <w:t xml:space="preserve">a dinámica económica y de mercado actual ha tenido un impacto significativo </w:t>
      </w:r>
      <w:r w:rsidR="00F74FB1" w:rsidRPr="009250A9">
        <w:rPr>
          <w:rFonts w:eastAsiaTheme="minorHAnsi"/>
          <w:i w:val="0"/>
          <w:sz w:val="22"/>
          <w:szCs w:val="22"/>
          <w:lang w:eastAsia="en-US"/>
        </w:rPr>
        <w:t xml:space="preserve">en la economía de los hogares, limitando la capacidad de pago de los asociados, afectando el </w:t>
      </w:r>
      <w:r w:rsidR="00755F2F" w:rsidRPr="009250A9">
        <w:rPr>
          <w:rFonts w:eastAsiaTheme="minorHAnsi"/>
          <w:i w:val="0"/>
          <w:sz w:val="22"/>
          <w:szCs w:val="22"/>
          <w:lang w:eastAsia="en-US"/>
        </w:rPr>
        <w:t xml:space="preserve">comportamiento de la cartera de crédito y los resultados de las organizaciones solidarias en general. Con el propósito </w:t>
      </w:r>
      <w:r w:rsidR="00D317C9" w:rsidRPr="009250A9">
        <w:rPr>
          <w:rFonts w:eastAsiaTheme="minorHAnsi"/>
          <w:i w:val="0"/>
          <w:sz w:val="22"/>
          <w:szCs w:val="22"/>
          <w:lang w:eastAsia="en-US"/>
        </w:rPr>
        <w:t xml:space="preserve">de </w:t>
      </w:r>
      <w:r w:rsidR="00EA3D9E" w:rsidRPr="009250A9">
        <w:rPr>
          <w:rFonts w:eastAsiaTheme="minorHAnsi"/>
          <w:i w:val="0"/>
          <w:sz w:val="22"/>
          <w:szCs w:val="22"/>
          <w:lang w:eastAsia="en-US"/>
        </w:rPr>
        <w:t xml:space="preserve">generar condiciones que ayuden a fortalecer la estabilidad financiera del sector solidario, </w:t>
      </w:r>
      <w:r w:rsidR="00755F2F" w:rsidRPr="009250A9">
        <w:rPr>
          <w:rFonts w:eastAsiaTheme="minorHAnsi"/>
          <w:i w:val="0"/>
          <w:sz w:val="22"/>
          <w:szCs w:val="22"/>
          <w:lang w:eastAsia="en-US"/>
        </w:rPr>
        <w:t>esta Superintendencia considera</w:t>
      </w:r>
      <w:r w:rsidR="00EA3D9E" w:rsidRPr="009250A9">
        <w:rPr>
          <w:rFonts w:eastAsiaTheme="minorHAnsi"/>
          <w:i w:val="0"/>
          <w:sz w:val="22"/>
          <w:szCs w:val="22"/>
          <w:lang w:eastAsia="en-US"/>
        </w:rPr>
        <w:t xml:space="preserve"> oportuno</w:t>
      </w:r>
      <w:r w:rsidR="00755F2F" w:rsidRPr="009250A9">
        <w:rPr>
          <w:rFonts w:eastAsiaTheme="minorHAnsi"/>
          <w:i w:val="0"/>
          <w:sz w:val="22"/>
          <w:szCs w:val="22"/>
          <w:lang w:eastAsia="en-US"/>
        </w:rPr>
        <w:t xml:space="preserve"> </w:t>
      </w:r>
      <w:r w:rsidR="00EA3D9E" w:rsidRPr="009250A9">
        <w:rPr>
          <w:rFonts w:eastAsiaTheme="minorHAnsi"/>
          <w:i w:val="0"/>
          <w:sz w:val="22"/>
          <w:szCs w:val="22"/>
          <w:lang w:eastAsia="en-US"/>
        </w:rPr>
        <w:t xml:space="preserve">la </w:t>
      </w:r>
      <w:r w:rsidR="00755F2F" w:rsidRPr="009250A9">
        <w:rPr>
          <w:rFonts w:eastAsiaTheme="minorHAnsi"/>
          <w:i w:val="0"/>
          <w:sz w:val="22"/>
          <w:szCs w:val="22"/>
          <w:lang w:eastAsia="en-US"/>
        </w:rPr>
        <w:t>implementa</w:t>
      </w:r>
      <w:r w:rsidR="00EA3D9E" w:rsidRPr="009250A9">
        <w:rPr>
          <w:rFonts w:eastAsiaTheme="minorHAnsi"/>
          <w:i w:val="0"/>
          <w:sz w:val="22"/>
          <w:szCs w:val="22"/>
          <w:lang w:eastAsia="en-US"/>
        </w:rPr>
        <w:t>ción de</w:t>
      </w:r>
      <w:r w:rsidR="00AE127D" w:rsidRPr="009250A9">
        <w:rPr>
          <w:rFonts w:eastAsiaTheme="minorHAnsi"/>
          <w:i w:val="0"/>
          <w:sz w:val="22"/>
          <w:szCs w:val="22"/>
          <w:lang w:eastAsia="en-US"/>
        </w:rPr>
        <w:t xml:space="preserve"> </w:t>
      </w:r>
      <w:r w:rsidR="00755F2F" w:rsidRPr="009250A9">
        <w:rPr>
          <w:rFonts w:eastAsiaTheme="minorHAnsi"/>
          <w:i w:val="0"/>
          <w:sz w:val="22"/>
          <w:szCs w:val="22"/>
          <w:lang w:eastAsia="en-US"/>
        </w:rPr>
        <w:t>medidas que busquen mitigar los efectos de la coyuntura actual</w:t>
      </w:r>
      <w:r w:rsidR="00AE127D" w:rsidRPr="009250A9">
        <w:rPr>
          <w:rFonts w:eastAsiaTheme="minorHAnsi"/>
          <w:i w:val="0"/>
          <w:sz w:val="22"/>
          <w:szCs w:val="22"/>
          <w:lang w:eastAsia="en-US"/>
        </w:rPr>
        <w:t xml:space="preserve">, </w:t>
      </w:r>
      <w:r w:rsidR="00F74FB1" w:rsidRPr="009250A9">
        <w:rPr>
          <w:rFonts w:eastAsiaTheme="minorHAnsi"/>
          <w:i w:val="0"/>
          <w:sz w:val="22"/>
          <w:szCs w:val="22"/>
          <w:lang w:eastAsia="en-US"/>
        </w:rPr>
        <w:t>de manera que se mantenga l</w:t>
      </w:r>
      <w:r w:rsidR="00755F2F" w:rsidRPr="009250A9">
        <w:rPr>
          <w:rFonts w:eastAsiaTheme="minorHAnsi"/>
          <w:i w:val="0"/>
          <w:sz w:val="22"/>
          <w:szCs w:val="22"/>
          <w:lang w:eastAsia="en-US"/>
        </w:rPr>
        <w:t>a confianza</w:t>
      </w:r>
      <w:r w:rsidR="003B1F78" w:rsidRPr="009250A9">
        <w:rPr>
          <w:rFonts w:eastAsiaTheme="minorHAnsi"/>
          <w:i w:val="0"/>
          <w:sz w:val="22"/>
          <w:szCs w:val="22"/>
          <w:lang w:eastAsia="en-US"/>
        </w:rPr>
        <w:t xml:space="preserve"> en el sector</w:t>
      </w:r>
      <w:r w:rsidR="00755F2F" w:rsidRPr="009250A9">
        <w:rPr>
          <w:rFonts w:eastAsiaTheme="minorHAnsi"/>
          <w:i w:val="0"/>
          <w:sz w:val="22"/>
          <w:szCs w:val="22"/>
          <w:lang w:eastAsia="en-US"/>
        </w:rPr>
        <w:t xml:space="preserve">, </w:t>
      </w:r>
      <w:r w:rsidR="00F74FB1" w:rsidRPr="009250A9">
        <w:rPr>
          <w:rFonts w:eastAsiaTheme="minorHAnsi"/>
          <w:i w:val="0"/>
          <w:sz w:val="22"/>
          <w:szCs w:val="22"/>
          <w:lang w:eastAsia="en-US"/>
        </w:rPr>
        <w:t xml:space="preserve">se </w:t>
      </w:r>
      <w:r w:rsidR="00AE127D" w:rsidRPr="009250A9">
        <w:rPr>
          <w:rFonts w:eastAsiaTheme="minorHAnsi"/>
          <w:i w:val="0"/>
          <w:sz w:val="22"/>
          <w:szCs w:val="22"/>
          <w:lang w:eastAsia="en-US"/>
        </w:rPr>
        <w:t xml:space="preserve">fortalezca la </w:t>
      </w:r>
      <w:r w:rsidR="00755F2F" w:rsidRPr="009250A9">
        <w:rPr>
          <w:rFonts w:eastAsiaTheme="minorHAnsi"/>
          <w:i w:val="0"/>
          <w:sz w:val="22"/>
          <w:szCs w:val="22"/>
          <w:lang w:eastAsia="en-US"/>
        </w:rPr>
        <w:t>cultura de pago</w:t>
      </w:r>
      <w:r w:rsidR="00AE127D" w:rsidRPr="009250A9">
        <w:rPr>
          <w:rFonts w:eastAsiaTheme="minorHAnsi"/>
          <w:i w:val="0"/>
          <w:sz w:val="22"/>
          <w:szCs w:val="22"/>
          <w:lang w:eastAsia="en-US"/>
        </w:rPr>
        <w:t xml:space="preserve"> y</w:t>
      </w:r>
      <w:r w:rsidR="00D04EE2" w:rsidRPr="009250A9">
        <w:rPr>
          <w:rFonts w:eastAsiaTheme="minorHAnsi"/>
          <w:i w:val="0"/>
          <w:sz w:val="22"/>
          <w:szCs w:val="22"/>
          <w:lang w:eastAsia="en-US"/>
        </w:rPr>
        <w:t xml:space="preserve"> los procesos de cobranza</w:t>
      </w:r>
      <w:r w:rsidR="00AE127D" w:rsidRPr="009250A9">
        <w:rPr>
          <w:rFonts w:eastAsiaTheme="minorHAnsi"/>
          <w:i w:val="0"/>
          <w:sz w:val="22"/>
          <w:szCs w:val="22"/>
          <w:lang w:eastAsia="en-US"/>
        </w:rPr>
        <w:t>,</w:t>
      </w:r>
      <w:r w:rsidR="00755F2F" w:rsidRPr="009250A9">
        <w:rPr>
          <w:rFonts w:eastAsiaTheme="minorHAnsi"/>
          <w:i w:val="0"/>
          <w:sz w:val="22"/>
          <w:szCs w:val="22"/>
          <w:lang w:eastAsia="en-US"/>
        </w:rPr>
        <w:t xml:space="preserve"> y </w:t>
      </w:r>
      <w:r w:rsidR="00F74FB1" w:rsidRPr="009250A9">
        <w:rPr>
          <w:rFonts w:eastAsiaTheme="minorHAnsi"/>
          <w:i w:val="0"/>
          <w:sz w:val="22"/>
          <w:szCs w:val="22"/>
          <w:lang w:eastAsia="en-US"/>
        </w:rPr>
        <w:t>se contribuya</w:t>
      </w:r>
      <w:r w:rsidR="00755F2F" w:rsidRPr="009250A9">
        <w:rPr>
          <w:rFonts w:eastAsiaTheme="minorHAnsi"/>
          <w:i w:val="0"/>
          <w:sz w:val="22"/>
          <w:szCs w:val="22"/>
          <w:lang w:eastAsia="en-US"/>
        </w:rPr>
        <w:t xml:space="preserve"> </w:t>
      </w:r>
      <w:r w:rsidR="00101C15" w:rsidRPr="009250A9">
        <w:rPr>
          <w:rFonts w:eastAsiaTheme="minorHAnsi"/>
          <w:i w:val="0"/>
          <w:sz w:val="22"/>
          <w:szCs w:val="22"/>
          <w:lang w:eastAsia="en-US"/>
        </w:rPr>
        <w:t xml:space="preserve">a </w:t>
      </w:r>
      <w:r w:rsidR="00755F2F" w:rsidRPr="009250A9">
        <w:rPr>
          <w:rFonts w:eastAsiaTheme="minorHAnsi"/>
          <w:i w:val="0"/>
          <w:sz w:val="22"/>
          <w:szCs w:val="22"/>
          <w:lang w:eastAsia="en-US"/>
        </w:rPr>
        <w:t>preservar el bienestar de l</w:t>
      </w:r>
      <w:r w:rsidR="00AE127D" w:rsidRPr="009250A9">
        <w:rPr>
          <w:rFonts w:eastAsiaTheme="minorHAnsi"/>
          <w:i w:val="0"/>
          <w:sz w:val="22"/>
          <w:szCs w:val="22"/>
          <w:lang w:eastAsia="en-US"/>
        </w:rPr>
        <w:t xml:space="preserve">os y las asociadas en tiempos de desaceleración económica. </w:t>
      </w:r>
    </w:p>
    <w:p w14:paraId="30D627F2" w14:textId="77777777" w:rsidR="00755F2F" w:rsidRPr="009250A9" w:rsidRDefault="00755F2F" w:rsidP="009250A9">
      <w:pPr>
        <w:jc w:val="both"/>
        <w:rPr>
          <w:rFonts w:eastAsiaTheme="minorHAnsi"/>
          <w:i w:val="0"/>
          <w:sz w:val="22"/>
          <w:szCs w:val="22"/>
          <w:lang w:eastAsia="en-US"/>
        </w:rPr>
      </w:pPr>
    </w:p>
    <w:p w14:paraId="3A619381" w14:textId="77777777" w:rsidR="00C46654" w:rsidRDefault="00C46654" w:rsidP="009250A9">
      <w:pPr>
        <w:jc w:val="both"/>
        <w:rPr>
          <w:rFonts w:eastAsiaTheme="minorHAnsi"/>
          <w:i w:val="0"/>
          <w:sz w:val="22"/>
          <w:szCs w:val="22"/>
          <w:lang w:eastAsia="en-US"/>
        </w:rPr>
      </w:pPr>
    </w:p>
    <w:p w14:paraId="70BCBA89" w14:textId="77777777" w:rsidR="00C46654" w:rsidRDefault="00C46654" w:rsidP="009250A9">
      <w:pPr>
        <w:jc w:val="both"/>
        <w:rPr>
          <w:rFonts w:eastAsiaTheme="minorHAnsi"/>
          <w:i w:val="0"/>
          <w:sz w:val="22"/>
          <w:szCs w:val="22"/>
          <w:lang w:eastAsia="en-US"/>
        </w:rPr>
      </w:pPr>
    </w:p>
    <w:p w14:paraId="5E553B32" w14:textId="77777777" w:rsidR="00C46654" w:rsidRDefault="00C46654" w:rsidP="009250A9">
      <w:pPr>
        <w:jc w:val="both"/>
        <w:rPr>
          <w:rFonts w:eastAsiaTheme="minorHAnsi"/>
          <w:i w:val="0"/>
          <w:sz w:val="22"/>
          <w:szCs w:val="22"/>
          <w:lang w:eastAsia="en-US"/>
        </w:rPr>
      </w:pPr>
    </w:p>
    <w:p w14:paraId="734B9897" w14:textId="05BA7CDF" w:rsidR="00CE14F5" w:rsidRPr="009250A9" w:rsidRDefault="00407B86" w:rsidP="009250A9">
      <w:pPr>
        <w:jc w:val="both"/>
        <w:rPr>
          <w:rFonts w:eastAsiaTheme="minorHAnsi"/>
          <w:i w:val="0"/>
          <w:sz w:val="22"/>
          <w:szCs w:val="22"/>
          <w:lang w:eastAsia="en-US"/>
        </w:rPr>
      </w:pPr>
      <w:r w:rsidRPr="009250A9">
        <w:rPr>
          <w:rFonts w:eastAsiaTheme="minorHAnsi"/>
          <w:i w:val="0"/>
          <w:sz w:val="22"/>
          <w:szCs w:val="22"/>
          <w:lang w:eastAsia="en-US"/>
        </w:rPr>
        <w:t xml:space="preserve">Por lo tanto, </w:t>
      </w:r>
      <w:r w:rsidR="00E54D92" w:rsidRPr="009250A9">
        <w:rPr>
          <w:rFonts w:eastAsiaTheme="minorHAnsi"/>
          <w:i w:val="0"/>
          <w:sz w:val="22"/>
          <w:szCs w:val="22"/>
          <w:lang w:eastAsia="en-US"/>
        </w:rPr>
        <w:t xml:space="preserve">es </w:t>
      </w:r>
      <w:r w:rsidR="00AE127D" w:rsidRPr="009250A9">
        <w:rPr>
          <w:rFonts w:eastAsiaTheme="minorHAnsi"/>
          <w:i w:val="0"/>
          <w:sz w:val="22"/>
          <w:szCs w:val="22"/>
          <w:lang w:eastAsia="en-US"/>
        </w:rPr>
        <w:t xml:space="preserve">pertinente la incorporación de </w:t>
      </w:r>
      <w:r w:rsidR="00E54D92" w:rsidRPr="009250A9">
        <w:rPr>
          <w:rFonts w:eastAsiaTheme="minorHAnsi"/>
          <w:i w:val="0"/>
          <w:sz w:val="22"/>
          <w:szCs w:val="22"/>
          <w:lang w:eastAsia="en-US"/>
        </w:rPr>
        <w:t xml:space="preserve">algunas instrucciones transitorias </w:t>
      </w:r>
      <w:r w:rsidRPr="009250A9">
        <w:rPr>
          <w:rFonts w:eastAsiaTheme="minorHAnsi"/>
          <w:i w:val="0"/>
          <w:sz w:val="22"/>
          <w:szCs w:val="22"/>
          <w:lang w:eastAsia="en-US"/>
        </w:rPr>
        <w:t xml:space="preserve">para la cartera de crédito </w:t>
      </w:r>
      <w:r w:rsidR="00E54D92" w:rsidRPr="009250A9">
        <w:rPr>
          <w:rFonts w:eastAsiaTheme="minorHAnsi"/>
          <w:i w:val="0"/>
          <w:sz w:val="22"/>
          <w:szCs w:val="22"/>
          <w:lang w:eastAsia="en-US"/>
        </w:rPr>
        <w:t xml:space="preserve">con el fin de brindar </w:t>
      </w:r>
      <w:r w:rsidR="00AE127D" w:rsidRPr="009250A9">
        <w:rPr>
          <w:rFonts w:eastAsiaTheme="minorHAnsi"/>
          <w:i w:val="0"/>
          <w:sz w:val="22"/>
          <w:szCs w:val="22"/>
          <w:lang w:eastAsia="en-US"/>
        </w:rPr>
        <w:t xml:space="preserve">alternativas </w:t>
      </w:r>
      <w:r w:rsidR="00E54D92" w:rsidRPr="009250A9">
        <w:rPr>
          <w:rFonts w:eastAsiaTheme="minorHAnsi"/>
          <w:i w:val="0"/>
          <w:sz w:val="22"/>
          <w:szCs w:val="22"/>
          <w:lang w:eastAsia="en-US"/>
        </w:rPr>
        <w:t xml:space="preserve">a los </w:t>
      </w:r>
      <w:r w:rsidR="00AE127D" w:rsidRPr="009250A9">
        <w:rPr>
          <w:rFonts w:eastAsiaTheme="minorHAnsi"/>
          <w:i w:val="0"/>
          <w:sz w:val="22"/>
          <w:szCs w:val="22"/>
          <w:lang w:eastAsia="en-US"/>
        </w:rPr>
        <w:t xml:space="preserve">y las </w:t>
      </w:r>
      <w:r w:rsidR="00E54D92" w:rsidRPr="009250A9">
        <w:rPr>
          <w:rFonts w:eastAsiaTheme="minorHAnsi"/>
          <w:i w:val="0"/>
          <w:sz w:val="22"/>
          <w:szCs w:val="22"/>
          <w:lang w:eastAsia="en-US"/>
        </w:rPr>
        <w:t>asociad</w:t>
      </w:r>
      <w:r w:rsidR="00AE127D" w:rsidRPr="009250A9">
        <w:rPr>
          <w:rFonts w:eastAsiaTheme="minorHAnsi"/>
          <w:i w:val="0"/>
          <w:sz w:val="22"/>
          <w:szCs w:val="22"/>
          <w:lang w:eastAsia="en-US"/>
        </w:rPr>
        <w:t>a</w:t>
      </w:r>
      <w:r w:rsidR="00E54D92" w:rsidRPr="009250A9">
        <w:rPr>
          <w:rFonts w:eastAsiaTheme="minorHAnsi"/>
          <w:i w:val="0"/>
          <w:sz w:val="22"/>
          <w:szCs w:val="22"/>
          <w:lang w:eastAsia="en-US"/>
        </w:rPr>
        <w:t>s</w:t>
      </w:r>
      <w:r w:rsidR="00B76AD8" w:rsidRPr="009250A9">
        <w:rPr>
          <w:rFonts w:eastAsiaTheme="minorHAnsi"/>
          <w:i w:val="0"/>
          <w:sz w:val="22"/>
          <w:szCs w:val="22"/>
          <w:lang w:eastAsia="en-US"/>
        </w:rPr>
        <w:t>,</w:t>
      </w:r>
      <w:r w:rsidR="00E54D92" w:rsidRPr="009250A9">
        <w:rPr>
          <w:rFonts w:eastAsiaTheme="minorHAnsi"/>
          <w:i w:val="0"/>
          <w:sz w:val="22"/>
          <w:szCs w:val="22"/>
          <w:lang w:eastAsia="en-US"/>
        </w:rPr>
        <w:t xml:space="preserve"> para </w:t>
      </w:r>
      <w:r w:rsidR="00CE14F5" w:rsidRPr="009250A9">
        <w:rPr>
          <w:rFonts w:eastAsiaTheme="minorHAnsi"/>
          <w:i w:val="0"/>
          <w:sz w:val="22"/>
          <w:szCs w:val="22"/>
          <w:lang w:eastAsia="en-US"/>
        </w:rPr>
        <w:t xml:space="preserve">atender </w:t>
      </w:r>
      <w:r w:rsidR="00E54D92" w:rsidRPr="009250A9">
        <w:rPr>
          <w:rFonts w:eastAsiaTheme="minorHAnsi"/>
          <w:i w:val="0"/>
          <w:sz w:val="22"/>
          <w:szCs w:val="22"/>
          <w:lang w:eastAsia="en-US"/>
        </w:rPr>
        <w:t>las obligaciones contraídas con las organizaciones solidarias</w:t>
      </w:r>
    </w:p>
    <w:p w14:paraId="7510238A" w14:textId="77777777" w:rsidR="00BE5AD2" w:rsidRPr="00C46654" w:rsidRDefault="00BE5AD2" w:rsidP="009250A9">
      <w:pPr>
        <w:jc w:val="both"/>
        <w:rPr>
          <w:rFonts w:eastAsiaTheme="minorHAnsi"/>
          <w:i w:val="0"/>
          <w:sz w:val="14"/>
          <w:szCs w:val="22"/>
          <w:lang w:eastAsia="en-US"/>
        </w:rPr>
      </w:pPr>
    </w:p>
    <w:p w14:paraId="53FB41F6" w14:textId="6A813971" w:rsidR="00BE5AD2" w:rsidRPr="009250A9" w:rsidRDefault="00D317C9" w:rsidP="009250A9">
      <w:pPr>
        <w:jc w:val="both"/>
        <w:rPr>
          <w:rFonts w:eastAsiaTheme="minorHAnsi"/>
          <w:i w:val="0"/>
          <w:sz w:val="22"/>
          <w:szCs w:val="22"/>
          <w:lang w:eastAsia="en-US"/>
        </w:rPr>
      </w:pPr>
      <w:r w:rsidRPr="009250A9">
        <w:rPr>
          <w:rFonts w:eastAsiaTheme="minorHAnsi"/>
          <w:i w:val="0"/>
          <w:sz w:val="22"/>
          <w:szCs w:val="22"/>
          <w:lang w:eastAsia="en-US"/>
        </w:rPr>
        <w:t>P</w:t>
      </w:r>
      <w:r w:rsidR="00CE14F5" w:rsidRPr="009250A9">
        <w:rPr>
          <w:rFonts w:eastAsiaTheme="minorHAnsi"/>
          <w:i w:val="0"/>
          <w:sz w:val="22"/>
          <w:szCs w:val="22"/>
          <w:lang w:eastAsia="en-US"/>
        </w:rPr>
        <w:t xml:space="preserve">or </w:t>
      </w:r>
      <w:r w:rsidR="00407B86" w:rsidRPr="009250A9">
        <w:rPr>
          <w:rFonts w:eastAsiaTheme="minorHAnsi"/>
          <w:i w:val="0"/>
          <w:sz w:val="22"/>
          <w:szCs w:val="22"/>
          <w:lang w:eastAsia="en-US"/>
        </w:rPr>
        <w:t xml:space="preserve">otra parte, </w:t>
      </w:r>
      <w:r w:rsidR="00CE14F5" w:rsidRPr="009250A9">
        <w:rPr>
          <w:rFonts w:eastAsiaTheme="minorHAnsi"/>
          <w:i w:val="0"/>
          <w:sz w:val="22"/>
          <w:szCs w:val="22"/>
          <w:lang w:eastAsia="en-US"/>
        </w:rPr>
        <w:t xml:space="preserve">producto </w:t>
      </w:r>
      <w:r w:rsidR="00407B86" w:rsidRPr="009250A9">
        <w:rPr>
          <w:rFonts w:eastAsiaTheme="minorHAnsi"/>
          <w:i w:val="0"/>
          <w:sz w:val="22"/>
          <w:szCs w:val="22"/>
          <w:lang w:eastAsia="en-US"/>
        </w:rPr>
        <w:t>del análisis y seguimiento realizado por esta Superintendencia a las cooperativas de ahorro y crédito que aplican los modelos de referencia</w:t>
      </w:r>
      <w:r w:rsidR="008E7267" w:rsidRPr="009250A9">
        <w:rPr>
          <w:rFonts w:eastAsiaTheme="minorHAnsi"/>
          <w:i w:val="0"/>
          <w:sz w:val="22"/>
          <w:szCs w:val="22"/>
          <w:lang w:eastAsia="en-US"/>
        </w:rPr>
        <w:t xml:space="preserve"> y</w:t>
      </w:r>
      <w:r w:rsidR="00407B86" w:rsidRPr="009250A9">
        <w:rPr>
          <w:rFonts w:eastAsiaTheme="minorHAnsi"/>
          <w:i w:val="0"/>
          <w:sz w:val="22"/>
          <w:szCs w:val="22"/>
          <w:lang w:eastAsia="en-US"/>
        </w:rPr>
        <w:t xml:space="preserve"> que adelantan una buena gestión de administración del riesgo de crédito</w:t>
      </w:r>
      <w:r w:rsidR="008E7267" w:rsidRPr="009250A9">
        <w:rPr>
          <w:rFonts w:eastAsiaTheme="minorHAnsi"/>
          <w:i w:val="0"/>
          <w:sz w:val="22"/>
          <w:szCs w:val="22"/>
          <w:lang w:eastAsia="en-US"/>
        </w:rPr>
        <w:t xml:space="preserve">, </w:t>
      </w:r>
      <w:r w:rsidR="00CE14F5" w:rsidRPr="009250A9">
        <w:rPr>
          <w:rFonts w:eastAsiaTheme="minorHAnsi"/>
          <w:i w:val="0"/>
          <w:sz w:val="22"/>
          <w:szCs w:val="22"/>
          <w:lang w:eastAsia="en-US"/>
        </w:rPr>
        <w:t xml:space="preserve">teniendo en cuenta el panorama anteriormente expuesto, es necesario </w:t>
      </w:r>
      <w:r w:rsidR="008E7267" w:rsidRPr="009250A9">
        <w:rPr>
          <w:rFonts w:eastAsiaTheme="minorHAnsi"/>
          <w:i w:val="0"/>
          <w:sz w:val="22"/>
          <w:szCs w:val="22"/>
          <w:lang w:eastAsia="en-US"/>
        </w:rPr>
        <w:t xml:space="preserve">realizar modificaciones </w:t>
      </w:r>
      <w:r w:rsidR="008E7267" w:rsidRPr="00307EB9">
        <w:rPr>
          <w:rFonts w:eastAsiaTheme="minorHAnsi"/>
          <w:i w:val="0"/>
          <w:sz w:val="22"/>
          <w:szCs w:val="22"/>
          <w:lang w:eastAsia="en-US"/>
        </w:rPr>
        <w:t>al Anexo 2 del</w:t>
      </w:r>
      <w:r w:rsidR="008E7267" w:rsidRPr="009250A9">
        <w:rPr>
          <w:rFonts w:eastAsiaTheme="minorHAnsi"/>
          <w:i w:val="0"/>
          <w:sz w:val="22"/>
          <w:szCs w:val="22"/>
          <w:lang w:eastAsia="en-US"/>
        </w:rPr>
        <w:t xml:space="preserve"> Capítulo II, Título IV de la Circular Básica Contable y Financiera, con el ánimo de </w:t>
      </w:r>
      <w:r w:rsidR="00BE5AD2" w:rsidRPr="009250A9">
        <w:rPr>
          <w:rFonts w:eastAsiaTheme="minorHAnsi"/>
          <w:i w:val="0"/>
          <w:sz w:val="22"/>
          <w:szCs w:val="22"/>
          <w:lang w:eastAsia="en-US"/>
        </w:rPr>
        <w:t xml:space="preserve">permitir la recuperación del gasto por deterioro, </w:t>
      </w:r>
      <w:r w:rsidR="008E7267" w:rsidRPr="009250A9">
        <w:rPr>
          <w:rFonts w:eastAsiaTheme="minorHAnsi"/>
          <w:i w:val="0"/>
          <w:sz w:val="22"/>
          <w:szCs w:val="22"/>
          <w:lang w:eastAsia="en-US"/>
        </w:rPr>
        <w:t xml:space="preserve">incentivar la cobranza preventiva y </w:t>
      </w:r>
      <w:r w:rsidR="00BE5AD2" w:rsidRPr="009250A9">
        <w:rPr>
          <w:rFonts w:eastAsiaTheme="minorHAnsi"/>
          <w:i w:val="0"/>
          <w:sz w:val="22"/>
          <w:szCs w:val="22"/>
          <w:lang w:eastAsia="en-US"/>
        </w:rPr>
        <w:t>una eficiente gestión financiera</w:t>
      </w:r>
      <w:r w:rsidR="003C5A72" w:rsidRPr="009250A9">
        <w:rPr>
          <w:rFonts w:eastAsiaTheme="minorHAnsi"/>
          <w:i w:val="0"/>
          <w:sz w:val="22"/>
          <w:szCs w:val="22"/>
          <w:lang w:eastAsia="en-US"/>
        </w:rPr>
        <w:t>.</w:t>
      </w:r>
    </w:p>
    <w:p w14:paraId="2994CCF9" w14:textId="77777777" w:rsidR="006B5B41" w:rsidRPr="009250A9" w:rsidRDefault="006B5B41" w:rsidP="009250A9">
      <w:pPr>
        <w:jc w:val="both"/>
        <w:rPr>
          <w:rFonts w:eastAsiaTheme="minorHAnsi"/>
          <w:i w:val="0"/>
          <w:sz w:val="22"/>
          <w:szCs w:val="22"/>
          <w:lang w:eastAsia="en-US"/>
        </w:rPr>
      </w:pPr>
    </w:p>
    <w:p w14:paraId="3031A498" w14:textId="2C7DE2D3" w:rsidR="00B76AD8" w:rsidRPr="009250A9" w:rsidRDefault="000767BA" w:rsidP="009250A9">
      <w:pPr>
        <w:jc w:val="both"/>
        <w:rPr>
          <w:rFonts w:eastAsiaTheme="minorHAnsi"/>
          <w:i w:val="0"/>
          <w:sz w:val="22"/>
          <w:szCs w:val="22"/>
          <w:lang w:eastAsia="en-US"/>
        </w:rPr>
      </w:pPr>
      <w:r w:rsidRPr="009250A9">
        <w:rPr>
          <w:rFonts w:eastAsiaTheme="minorHAnsi"/>
          <w:i w:val="0"/>
          <w:sz w:val="22"/>
          <w:szCs w:val="22"/>
          <w:lang w:eastAsia="en-US"/>
        </w:rPr>
        <w:t>Por lo tanto, e</w:t>
      </w:r>
      <w:r w:rsidR="00BE5AD2" w:rsidRPr="009250A9">
        <w:rPr>
          <w:rFonts w:eastAsiaTheme="minorHAnsi"/>
          <w:i w:val="0"/>
          <w:sz w:val="22"/>
          <w:szCs w:val="22"/>
          <w:lang w:eastAsia="en-US"/>
        </w:rPr>
        <w:t>n concordancia con las políticas del Gobierno Nacional</w:t>
      </w:r>
      <w:r w:rsidR="00B76AD8" w:rsidRPr="009250A9">
        <w:rPr>
          <w:rFonts w:eastAsiaTheme="minorHAnsi"/>
          <w:i w:val="0"/>
          <w:sz w:val="22"/>
          <w:szCs w:val="22"/>
          <w:lang w:eastAsia="en-US"/>
        </w:rPr>
        <w:t>,</w:t>
      </w:r>
      <w:r w:rsidR="00BE5AD2" w:rsidRPr="009250A9">
        <w:rPr>
          <w:rFonts w:eastAsiaTheme="minorHAnsi"/>
          <w:i w:val="0"/>
          <w:sz w:val="22"/>
          <w:szCs w:val="22"/>
          <w:lang w:eastAsia="en-US"/>
        </w:rPr>
        <w:t xml:space="preserve"> </w:t>
      </w:r>
      <w:r w:rsidR="00B76AD8" w:rsidRPr="009250A9">
        <w:rPr>
          <w:rFonts w:eastAsiaTheme="minorHAnsi"/>
          <w:i w:val="0"/>
          <w:sz w:val="22"/>
          <w:szCs w:val="22"/>
          <w:lang w:eastAsia="en-US"/>
        </w:rPr>
        <w:t xml:space="preserve">esta Superintendencia considera pertinente ajustar los porcentajes de deterioro para la modalidad de cartera de microcrédito, con el propósito de incentivar la irrigación de créditos a la economía </w:t>
      </w:r>
      <w:r w:rsidR="00AA372C" w:rsidRPr="009250A9">
        <w:rPr>
          <w:rFonts w:eastAsiaTheme="minorHAnsi"/>
          <w:i w:val="0"/>
          <w:sz w:val="22"/>
          <w:szCs w:val="22"/>
          <w:lang w:eastAsia="en-US"/>
        </w:rPr>
        <w:t>solidaria, popular</w:t>
      </w:r>
      <w:r w:rsidR="00B76AD8" w:rsidRPr="009250A9">
        <w:rPr>
          <w:rFonts w:eastAsiaTheme="minorHAnsi"/>
          <w:i w:val="0"/>
          <w:sz w:val="22"/>
          <w:szCs w:val="22"/>
          <w:lang w:eastAsia="en-US"/>
        </w:rPr>
        <w:t xml:space="preserve"> y comunitaria. </w:t>
      </w:r>
    </w:p>
    <w:p w14:paraId="260208E2" w14:textId="77777777" w:rsidR="00B76AD8" w:rsidRPr="009250A9" w:rsidRDefault="00B76AD8" w:rsidP="009250A9">
      <w:pPr>
        <w:jc w:val="both"/>
        <w:rPr>
          <w:rFonts w:eastAsiaTheme="minorHAnsi"/>
          <w:i w:val="0"/>
          <w:sz w:val="22"/>
          <w:szCs w:val="22"/>
          <w:lang w:eastAsia="en-US"/>
        </w:rPr>
      </w:pPr>
    </w:p>
    <w:p w14:paraId="3668C7A9" w14:textId="4DB758BC" w:rsidR="00755F2F" w:rsidRPr="009250A9" w:rsidRDefault="00B76AD8" w:rsidP="009250A9">
      <w:pPr>
        <w:jc w:val="both"/>
        <w:rPr>
          <w:rFonts w:eastAsiaTheme="minorHAnsi"/>
          <w:i w:val="0"/>
          <w:sz w:val="22"/>
          <w:szCs w:val="22"/>
          <w:lang w:eastAsia="en-US"/>
        </w:rPr>
      </w:pPr>
      <w:r w:rsidRPr="009250A9">
        <w:rPr>
          <w:rFonts w:eastAsiaTheme="minorHAnsi"/>
          <w:i w:val="0"/>
          <w:sz w:val="22"/>
          <w:szCs w:val="22"/>
          <w:lang w:eastAsia="en-US"/>
        </w:rPr>
        <w:t>En consecuencia y</w:t>
      </w:r>
      <w:r w:rsidR="00755F2F" w:rsidRPr="009250A9">
        <w:rPr>
          <w:rFonts w:eastAsiaTheme="minorHAnsi"/>
          <w:i w:val="0"/>
          <w:sz w:val="22"/>
          <w:szCs w:val="22"/>
          <w:lang w:eastAsia="en-US"/>
        </w:rPr>
        <w:t xml:space="preserve"> con el propósito de proteger los intereses de los asociados, la solidez y la confianza en las organizaciones solidarias, en ejercicio de las facultades legales conferidas en el numeral 22, del artículo 36, de la Ley 454 de 1998, esta Superintendencia imparte las siguientes instrucciones:</w:t>
      </w:r>
    </w:p>
    <w:p w14:paraId="3FB0E13F" w14:textId="77777777" w:rsidR="00EA5654" w:rsidRPr="009250A9" w:rsidRDefault="00EA5654" w:rsidP="009250A9">
      <w:pPr>
        <w:jc w:val="both"/>
        <w:rPr>
          <w:i w:val="0"/>
          <w:sz w:val="22"/>
          <w:szCs w:val="22"/>
        </w:rPr>
      </w:pPr>
    </w:p>
    <w:p w14:paraId="5A17BD3F" w14:textId="2EF62529" w:rsidR="00AF5C84" w:rsidRPr="004762ED" w:rsidRDefault="00EA5654" w:rsidP="009250A9">
      <w:pPr>
        <w:pStyle w:val="Sinespaciado"/>
        <w:jc w:val="both"/>
        <w:rPr>
          <w:rFonts w:ascii="Arial" w:hAnsi="Arial" w:cs="Arial"/>
        </w:rPr>
      </w:pPr>
      <w:r w:rsidRPr="004762ED">
        <w:rPr>
          <w:rFonts w:ascii="Arial" w:hAnsi="Arial" w:cs="Arial"/>
          <w:b/>
          <w:bCs/>
        </w:rPr>
        <w:t xml:space="preserve">PRIMERA: </w:t>
      </w:r>
      <w:r w:rsidR="00E2350D" w:rsidRPr="004762ED">
        <w:rPr>
          <w:rFonts w:ascii="Arial" w:hAnsi="Arial" w:cs="Arial"/>
          <w:bCs/>
          <w:lang w:val="es-ES"/>
        </w:rPr>
        <w:t>Autorizar</w:t>
      </w:r>
      <w:r w:rsidR="00267AE0" w:rsidRPr="004762ED">
        <w:rPr>
          <w:rFonts w:ascii="Arial" w:hAnsi="Arial" w:cs="Arial"/>
          <w:bCs/>
          <w:lang w:val="es-ES"/>
        </w:rPr>
        <w:t xml:space="preserve"> transitoriamente </w:t>
      </w:r>
      <w:r w:rsidR="00333CFB" w:rsidRPr="004762ED">
        <w:rPr>
          <w:rFonts w:ascii="Arial" w:hAnsi="Arial" w:cs="Arial"/>
          <w:bCs/>
          <w:lang w:val="es-ES"/>
        </w:rPr>
        <w:t xml:space="preserve">hasta el 31 de diciembre de 2024, </w:t>
      </w:r>
      <w:r w:rsidR="00301001" w:rsidRPr="004762ED">
        <w:rPr>
          <w:rFonts w:ascii="Arial" w:hAnsi="Arial" w:cs="Arial"/>
          <w:bCs/>
          <w:lang w:val="es-ES"/>
        </w:rPr>
        <w:t>que las organizaciones solidarias</w:t>
      </w:r>
      <w:r w:rsidRPr="004762ED">
        <w:rPr>
          <w:rFonts w:ascii="Arial" w:hAnsi="Arial" w:cs="Arial"/>
          <w:bCs/>
          <w:lang w:val="es-ES"/>
        </w:rPr>
        <w:t xml:space="preserve"> </w:t>
      </w:r>
      <w:r w:rsidR="00301001" w:rsidRPr="004762ED">
        <w:rPr>
          <w:rFonts w:ascii="Arial" w:hAnsi="Arial" w:cs="Arial"/>
        </w:rPr>
        <w:t>puedan modificar</w:t>
      </w:r>
      <w:r w:rsidR="00431602" w:rsidRPr="004762ED">
        <w:rPr>
          <w:rFonts w:ascii="Arial" w:hAnsi="Arial" w:cs="Arial"/>
        </w:rPr>
        <w:t xml:space="preserve">, a solicitud del deudor o por iniciativa de la organización, previo acuerdo con el deudor, las condiciones inicialmente pactadas de los créditos, con el fin de permitirle al deudor la atención adecuada de su obligación ante el potencial o real deterioro de su capacidad de pago, sin que estos ajustes sean considerados como una reestructuración en los términos señalados en el numeral 5.2.3.3, del capítulo II, Título IV de la Circular Básica Contable y Financiera, siempre y cuando durante los últimos 6 meses el crédito no haya alcanzado una mora mayor </w:t>
      </w:r>
      <w:r w:rsidR="003C740B" w:rsidRPr="004762ED">
        <w:rPr>
          <w:rFonts w:ascii="Arial" w:hAnsi="Arial" w:cs="Arial"/>
          <w:bCs/>
          <w:lang w:val="es-ES"/>
        </w:rPr>
        <w:t xml:space="preserve">a </w:t>
      </w:r>
      <w:r w:rsidR="003C740B" w:rsidRPr="004762ED">
        <w:rPr>
          <w:rFonts w:ascii="Arial" w:hAnsi="Arial" w:cs="Arial"/>
          <w:b/>
          <w:u w:val="single"/>
          <w:lang w:val="es-ES"/>
        </w:rPr>
        <w:t>90</w:t>
      </w:r>
      <w:r w:rsidR="003C740B" w:rsidRPr="004762ED">
        <w:rPr>
          <w:rFonts w:ascii="Arial" w:hAnsi="Arial" w:cs="Arial"/>
          <w:bCs/>
          <w:u w:val="single"/>
          <w:lang w:val="es-ES"/>
        </w:rPr>
        <w:t xml:space="preserve"> </w:t>
      </w:r>
      <w:r w:rsidR="003C740B" w:rsidRPr="004762ED">
        <w:rPr>
          <w:rFonts w:ascii="Arial" w:hAnsi="Arial" w:cs="Arial"/>
          <w:b/>
          <w:u w:val="single"/>
          <w:lang w:val="es-ES"/>
        </w:rPr>
        <w:t xml:space="preserve">días para </w:t>
      </w:r>
      <w:r w:rsidR="009423DA" w:rsidRPr="004762ED">
        <w:rPr>
          <w:rFonts w:ascii="Arial" w:hAnsi="Arial" w:cs="Arial"/>
          <w:b/>
          <w:u w:val="single"/>
          <w:lang w:val="es-ES"/>
        </w:rPr>
        <w:t xml:space="preserve">las modalidades de </w:t>
      </w:r>
      <w:r w:rsidR="003C740B" w:rsidRPr="004762ED">
        <w:rPr>
          <w:rFonts w:ascii="Arial" w:hAnsi="Arial" w:cs="Arial"/>
          <w:b/>
          <w:u w:val="single"/>
          <w:lang w:val="es-ES"/>
        </w:rPr>
        <w:t xml:space="preserve">microcrédito y consumo; y 120 días para </w:t>
      </w:r>
      <w:r w:rsidR="009423DA" w:rsidRPr="004762ED">
        <w:rPr>
          <w:rFonts w:ascii="Arial" w:hAnsi="Arial" w:cs="Arial"/>
          <w:b/>
          <w:u w:val="single"/>
          <w:lang w:val="es-ES"/>
        </w:rPr>
        <w:t xml:space="preserve">las modalidades de </w:t>
      </w:r>
      <w:r w:rsidR="003C740B" w:rsidRPr="004762ED">
        <w:rPr>
          <w:rFonts w:ascii="Arial" w:hAnsi="Arial" w:cs="Arial"/>
          <w:b/>
          <w:u w:val="single"/>
          <w:lang w:val="es-ES"/>
        </w:rPr>
        <w:t>comercial y vivienda</w:t>
      </w:r>
      <w:r w:rsidR="003C740B" w:rsidRPr="004762ED">
        <w:rPr>
          <w:rFonts w:ascii="Arial" w:hAnsi="Arial" w:cs="Arial"/>
        </w:rPr>
        <w:t>.</w:t>
      </w:r>
      <w:r w:rsidR="00AF5C84" w:rsidRPr="004762ED">
        <w:rPr>
          <w:rFonts w:ascii="Arial" w:hAnsi="Arial" w:cs="Arial"/>
        </w:rPr>
        <w:t xml:space="preserve"> </w:t>
      </w:r>
    </w:p>
    <w:p w14:paraId="0EE2D1B6" w14:textId="4761F182" w:rsidR="00BF60A1" w:rsidRPr="004762ED" w:rsidRDefault="00BF60A1" w:rsidP="009250A9">
      <w:pPr>
        <w:pStyle w:val="Sinespaciado"/>
        <w:jc w:val="both"/>
        <w:rPr>
          <w:rFonts w:ascii="Arial" w:hAnsi="Arial" w:cs="Arial"/>
        </w:rPr>
      </w:pPr>
    </w:p>
    <w:p w14:paraId="45F9D56F" w14:textId="1C5DA034" w:rsidR="00755F2F" w:rsidRPr="004762ED" w:rsidRDefault="00431602" w:rsidP="009250A9">
      <w:pPr>
        <w:pStyle w:val="Sinespaciado"/>
        <w:jc w:val="both"/>
        <w:rPr>
          <w:rFonts w:ascii="Arial" w:hAnsi="Arial" w:cs="Arial"/>
          <w:b/>
          <w:bCs/>
        </w:rPr>
      </w:pPr>
      <w:r w:rsidRPr="004762ED">
        <w:rPr>
          <w:rFonts w:ascii="Arial" w:hAnsi="Arial" w:cs="Arial"/>
          <w:b/>
          <w:bCs/>
          <w:iCs/>
        </w:rPr>
        <w:t>PARÁGRAFO 1</w:t>
      </w:r>
      <w:r w:rsidR="00502F00" w:rsidRPr="004762ED">
        <w:rPr>
          <w:rFonts w:ascii="Arial" w:hAnsi="Arial" w:cs="Arial"/>
          <w:b/>
          <w:bCs/>
          <w:iCs/>
        </w:rPr>
        <w:t>:</w:t>
      </w:r>
      <w:r w:rsidR="00502F00" w:rsidRPr="004762ED">
        <w:rPr>
          <w:rFonts w:ascii="Arial" w:hAnsi="Arial" w:cs="Arial"/>
          <w:bCs/>
          <w:lang w:val="es-ES"/>
        </w:rPr>
        <w:t xml:space="preserve"> </w:t>
      </w:r>
      <w:r w:rsidRPr="004762ED">
        <w:rPr>
          <w:rFonts w:ascii="Arial" w:hAnsi="Arial" w:cs="Arial"/>
          <w:bCs/>
          <w:lang w:val="es-ES"/>
        </w:rPr>
        <w:t>Las</w:t>
      </w:r>
      <w:r w:rsidR="00565972" w:rsidRPr="004762ED">
        <w:rPr>
          <w:rFonts w:ascii="Arial" w:hAnsi="Arial" w:cs="Arial"/>
          <w:bCs/>
          <w:lang w:val="es-ES"/>
        </w:rPr>
        <w:t xml:space="preserve"> organizaciones solidarias, </w:t>
      </w:r>
      <w:r w:rsidR="00502F00" w:rsidRPr="004762ED">
        <w:rPr>
          <w:rFonts w:ascii="Arial" w:hAnsi="Arial" w:cs="Arial"/>
          <w:bCs/>
          <w:lang w:val="es-ES"/>
        </w:rPr>
        <w:t>transitoriamente hasta el 31 de diciembre de 2024,</w:t>
      </w:r>
      <w:r w:rsidR="00565972" w:rsidRPr="004762ED">
        <w:rPr>
          <w:rFonts w:ascii="Arial" w:hAnsi="Arial" w:cs="Arial"/>
          <w:bCs/>
          <w:lang w:val="es-ES"/>
        </w:rPr>
        <w:t xml:space="preserve"> </w:t>
      </w:r>
      <w:r w:rsidRPr="004762ED">
        <w:rPr>
          <w:rFonts w:ascii="Arial" w:hAnsi="Arial" w:cs="Arial"/>
          <w:bCs/>
          <w:lang w:val="es-ES"/>
        </w:rPr>
        <w:t xml:space="preserve">podrán </w:t>
      </w:r>
      <w:r w:rsidR="00565972" w:rsidRPr="004762ED">
        <w:rPr>
          <w:rFonts w:ascii="Arial" w:hAnsi="Arial" w:cs="Arial"/>
          <w:bCs/>
          <w:lang w:val="es-ES"/>
        </w:rPr>
        <w:t>realizar</w:t>
      </w:r>
      <w:r w:rsidR="00502F00" w:rsidRPr="004762ED">
        <w:rPr>
          <w:rFonts w:ascii="Arial" w:hAnsi="Arial" w:cs="Arial"/>
          <w:bCs/>
          <w:lang w:val="es-ES"/>
        </w:rPr>
        <w:t xml:space="preserve"> modificaciones </w:t>
      </w:r>
      <w:r w:rsidR="00565972" w:rsidRPr="004762ED">
        <w:rPr>
          <w:rFonts w:ascii="Arial" w:hAnsi="Arial" w:cs="Arial"/>
          <w:bCs/>
          <w:lang w:val="es-ES"/>
        </w:rPr>
        <w:t>a los créditos vigentes en las condiciones inicialmente pactadas</w:t>
      </w:r>
      <w:r w:rsidR="00502F00" w:rsidRPr="004762ED">
        <w:rPr>
          <w:rFonts w:ascii="Arial" w:hAnsi="Arial" w:cs="Arial"/>
          <w:bCs/>
          <w:lang w:val="es-ES"/>
        </w:rPr>
        <w:t xml:space="preserve">, </w:t>
      </w:r>
      <w:r w:rsidR="00565972" w:rsidRPr="004762ED">
        <w:rPr>
          <w:rFonts w:ascii="Arial" w:hAnsi="Arial" w:cs="Arial"/>
          <w:bCs/>
          <w:lang w:val="es-ES"/>
        </w:rPr>
        <w:t>sin que las mismas se consideren “modificadas” en los términos del numeral 5.2.3.3</w:t>
      </w:r>
      <w:r w:rsidR="001A7A70" w:rsidRPr="004762ED">
        <w:rPr>
          <w:rFonts w:ascii="Arial" w:hAnsi="Arial" w:cs="Arial"/>
          <w:bCs/>
          <w:lang w:val="es-ES"/>
        </w:rPr>
        <w:t xml:space="preserve"> </w:t>
      </w:r>
      <w:r w:rsidR="00565972" w:rsidRPr="004762ED">
        <w:rPr>
          <w:rFonts w:ascii="Arial" w:hAnsi="Arial" w:cs="Arial"/>
          <w:bCs/>
          <w:lang w:val="es-ES"/>
        </w:rPr>
        <w:t xml:space="preserve">del </w:t>
      </w:r>
      <w:r w:rsidR="00502F00" w:rsidRPr="004762ED">
        <w:rPr>
          <w:rFonts w:ascii="Arial" w:hAnsi="Arial" w:cs="Arial"/>
          <w:bCs/>
          <w:lang w:val="es-ES"/>
        </w:rPr>
        <w:t>Capítulo II, Título IV, de la Circular Básica Contable y Financiera</w:t>
      </w:r>
      <w:r w:rsidR="00565972" w:rsidRPr="004762ED">
        <w:rPr>
          <w:rFonts w:ascii="Arial" w:hAnsi="Arial" w:cs="Arial"/>
          <w:bCs/>
          <w:lang w:val="es-ES"/>
        </w:rPr>
        <w:t xml:space="preserve">, </w:t>
      </w:r>
      <w:r w:rsidR="00755F2F" w:rsidRPr="004762ED">
        <w:rPr>
          <w:rFonts w:ascii="Arial" w:hAnsi="Arial" w:cs="Arial"/>
          <w:bCs/>
          <w:lang w:val="es-ES"/>
        </w:rPr>
        <w:t xml:space="preserve">siempre y cuando </w:t>
      </w:r>
      <w:r w:rsidR="00EC0BEF" w:rsidRPr="004762ED">
        <w:rPr>
          <w:rFonts w:ascii="Arial" w:hAnsi="Arial" w:cs="Arial"/>
          <w:bCs/>
          <w:lang w:val="es-ES"/>
        </w:rPr>
        <w:t>el crédito</w:t>
      </w:r>
      <w:r w:rsidR="00755F2F" w:rsidRPr="004762ED">
        <w:rPr>
          <w:rFonts w:ascii="Arial" w:hAnsi="Arial" w:cs="Arial"/>
          <w:bCs/>
          <w:lang w:val="es-ES"/>
        </w:rPr>
        <w:t xml:space="preserve"> cuente con mora inferior a 30 días</w:t>
      </w:r>
      <w:r w:rsidR="00E84F2F" w:rsidRPr="004762ED">
        <w:rPr>
          <w:rFonts w:ascii="Arial" w:hAnsi="Arial" w:cs="Arial"/>
          <w:bCs/>
          <w:lang w:val="es-ES"/>
        </w:rPr>
        <w:t xml:space="preserve"> al cierre inmediatamente anterior</w:t>
      </w:r>
      <w:r w:rsidRPr="004762ED">
        <w:rPr>
          <w:rFonts w:ascii="Arial" w:hAnsi="Arial" w:cs="Arial"/>
          <w:bCs/>
          <w:lang w:val="es-ES"/>
        </w:rPr>
        <w:t xml:space="preserve"> y no se encuentre marcado como reestructurado</w:t>
      </w:r>
      <w:r w:rsidRPr="004762ED">
        <w:rPr>
          <w:rFonts w:ascii="Arial" w:hAnsi="Arial" w:cs="Arial"/>
          <w:bCs/>
        </w:rPr>
        <w:t xml:space="preserve">. </w:t>
      </w:r>
      <w:bookmarkStart w:id="0" w:name="_Hlk149606686"/>
      <w:r w:rsidR="00755F2F" w:rsidRPr="004762ED">
        <w:rPr>
          <w:rFonts w:ascii="Arial" w:hAnsi="Arial" w:cs="Arial"/>
          <w:bCs/>
        </w:rPr>
        <w:t xml:space="preserve">Se permitirán máximo 2 operaciones de este tipo </w:t>
      </w:r>
      <w:r w:rsidR="00755F2F" w:rsidRPr="004762ED">
        <w:rPr>
          <w:rFonts w:ascii="Arial" w:hAnsi="Arial" w:cs="Arial"/>
          <w:bCs/>
        </w:rPr>
        <w:lastRenderedPageBreak/>
        <w:t>por obligación</w:t>
      </w:r>
      <w:r w:rsidRPr="004762ED">
        <w:rPr>
          <w:rFonts w:ascii="Arial" w:hAnsi="Arial" w:cs="Arial"/>
          <w:bCs/>
        </w:rPr>
        <w:t xml:space="preserve"> durante el periodo transitorio, es decir</w:t>
      </w:r>
      <w:r w:rsidR="003B19B3" w:rsidRPr="004762ED">
        <w:rPr>
          <w:rFonts w:ascii="Arial" w:hAnsi="Arial" w:cs="Arial"/>
          <w:bCs/>
        </w:rPr>
        <w:t>,</w:t>
      </w:r>
      <w:r w:rsidRPr="004762ED">
        <w:rPr>
          <w:rFonts w:ascii="Arial" w:hAnsi="Arial" w:cs="Arial"/>
          <w:bCs/>
        </w:rPr>
        <w:t xml:space="preserve"> desde la publicación de la presente Circular y hasta el </w:t>
      </w:r>
      <w:r w:rsidRPr="004762ED">
        <w:rPr>
          <w:rFonts w:ascii="Arial" w:hAnsi="Arial" w:cs="Arial"/>
          <w:bCs/>
          <w:lang w:val="es-ES"/>
        </w:rPr>
        <w:t>el 31 de diciembre de 2024</w:t>
      </w:r>
      <w:r w:rsidR="00755F2F" w:rsidRPr="004762ED">
        <w:rPr>
          <w:rFonts w:ascii="Arial" w:hAnsi="Arial" w:cs="Arial"/>
          <w:bCs/>
        </w:rPr>
        <w:t>.</w:t>
      </w:r>
    </w:p>
    <w:p w14:paraId="3D1DD36C" w14:textId="77777777" w:rsidR="009250A9" w:rsidRPr="004762ED" w:rsidRDefault="009250A9" w:rsidP="009250A9">
      <w:pPr>
        <w:pStyle w:val="Sinespaciado"/>
        <w:jc w:val="both"/>
        <w:rPr>
          <w:rFonts w:ascii="Arial" w:hAnsi="Arial" w:cs="Arial"/>
          <w:bCs/>
          <w:lang w:val="es-ES"/>
        </w:rPr>
      </w:pPr>
    </w:p>
    <w:bookmarkEnd w:id="0"/>
    <w:p w14:paraId="03E99A1F" w14:textId="77777777" w:rsidR="00C46654" w:rsidRDefault="00C46654" w:rsidP="009250A9">
      <w:pPr>
        <w:pStyle w:val="Sinespaciado"/>
        <w:jc w:val="both"/>
        <w:rPr>
          <w:rFonts w:ascii="Arial" w:hAnsi="Arial" w:cs="Arial"/>
          <w:b/>
          <w:bCs/>
        </w:rPr>
      </w:pPr>
    </w:p>
    <w:p w14:paraId="21426FA1" w14:textId="28F96D7A" w:rsidR="00755F2F" w:rsidRDefault="00431602" w:rsidP="009250A9">
      <w:pPr>
        <w:pStyle w:val="Sinespaciado"/>
        <w:jc w:val="both"/>
        <w:rPr>
          <w:rFonts w:ascii="Arial" w:hAnsi="Arial" w:cs="Arial"/>
          <w:bCs/>
        </w:rPr>
      </w:pPr>
      <w:r w:rsidRPr="004762ED">
        <w:rPr>
          <w:rFonts w:ascii="Arial" w:hAnsi="Arial" w:cs="Arial"/>
          <w:b/>
          <w:bCs/>
        </w:rPr>
        <w:t>SEGUNDA</w:t>
      </w:r>
      <w:r w:rsidR="00755F2F" w:rsidRPr="004762ED">
        <w:rPr>
          <w:rFonts w:ascii="Arial" w:hAnsi="Arial" w:cs="Arial"/>
          <w:b/>
          <w:bCs/>
        </w:rPr>
        <w:t xml:space="preserve">: </w:t>
      </w:r>
      <w:r w:rsidR="00AF5C84" w:rsidRPr="004762ED">
        <w:rPr>
          <w:rFonts w:ascii="Arial" w:hAnsi="Arial" w:cs="Arial"/>
          <w:bCs/>
        </w:rPr>
        <w:t>Autorizar</w:t>
      </w:r>
      <w:r w:rsidR="00565972" w:rsidRPr="004762ED">
        <w:rPr>
          <w:rFonts w:ascii="Arial" w:hAnsi="Arial" w:cs="Arial"/>
          <w:bCs/>
        </w:rPr>
        <w:t xml:space="preserve"> transitoriamente </w:t>
      </w:r>
      <w:r w:rsidR="00EA5654" w:rsidRPr="004762ED">
        <w:rPr>
          <w:rFonts w:ascii="Arial" w:hAnsi="Arial" w:cs="Arial"/>
          <w:bCs/>
        </w:rPr>
        <w:t>hasta el 31 de diciembre de 2024</w:t>
      </w:r>
      <w:r w:rsidR="000314EC" w:rsidRPr="004762ED">
        <w:rPr>
          <w:rFonts w:ascii="Arial" w:hAnsi="Arial" w:cs="Arial"/>
          <w:bCs/>
        </w:rPr>
        <w:t xml:space="preserve">, </w:t>
      </w:r>
      <w:r w:rsidR="00EA5654" w:rsidRPr="004762ED">
        <w:rPr>
          <w:rFonts w:ascii="Arial" w:hAnsi="Arial" w:cs="Arial"/>
          <w:bCs/>
        </w:rPr>
        <w:t>que a</w:t>
      </w:r>
      <w:r w:rsidR="00755F2F" w:rsidRPr="004762ED">
        <w:rPr>
          <w:rFonts w:ascii="Arial" w:hAnsi="Arial" w:cs="Arial"/>
          <w:bCs/>
        </w:rPr>
        <w:t>quellas obligaciones que ya cuenten con la marca de “modificado”</w:t>
      </w:r>
      <w:r w:rsidR="003B19B3" w:rsidRPr="004762ED">
        <w:rPr>
          <w:rFonts w:ascii="Arial" w:hAnsi="Arial" w:cs="Arial"/>
          <w:bCs/>
        </w:rPr>
        <w:t>,</w:t>
      </w:r>
      <w:r w:rsidR="000314EC" w:rsidRPr="004762ED">
        <w:rPr>
          <w:rFonts w:ascii="Arial" w:hAnsi="Arial" w:cs="Arial"/>
          <w:bCs/>
        </w:rPr>
        <w:t xml:space="preserve"> en los términos del numeral 5.2.3.3. del Capítulo II, Título IV, de la Circular Básica Contable y Financiera</w:t>
      </w:r>
      <w:r w:rsidR="00755F2F" w:rsidRPr="004762ED">
        <w:rPr>
          <w:rFonts w:ascii="Arial" w:hAnsi="Arial" w:cs="Arial"/>
          <w:bCs/>
        </w:rPr>
        <w:t xml:space="preserve">, </w:t>
      </w:r>
      <w:r w:rsidR="000314EC" w:rsidRPr="004762ED">
        <w:rPr>
          <w:rFonts w:ascii="Arial" w:hAnsi="Arial" w:cs="Arial"/>
          <w:bCs/>
        </w:rPr>
        <w:t>puedan</w:t>
      </w:r>
      <w:r w:rsidR="00755F2F" w:rsidRPr="004762ED">
        <w:rPr>
          <w:rFonts w:ascii="Arial" w:hAnsi="Arial" w:cs="Arial"/>
          <w:bCs/>
        </w:rPr>
        <w:t xml:space="preserve"> extender </w:t>
      </w:r>
      <w:r w:rsidR="000314EC" w:rsidRPr="004762ED">
        <w:rPr>
          <w:rFonts w:ascii="Arial" w:hAnsi="Arial" w:cs="Arial"/>
          <w:bCs/>
        </w:rPr>
        <w:t xml:space="preserve">hasta </w:t>
      </w:r>
      <w:r w:rsidR="000314EC" w:rsidRPr="004762ED">
        <w:rPr>
          <w:rFonts w:ascii="Arial" w:hAnsi="Arial" w:cs="Arial"/>
          <w:b/>
          <w:bCs/>
          <w:u w:val="single"/>
        </w:rPr>
        <w:t>61 días</w:t>
      </w:r>
      <w:r w:rsidR="000314EC" w:rsidRPr="004762ED">
        <w:rPr>
          <w:rFonts w:ascii="Arial" w:hAnsi="Arial" w:cs="Arial"/>
          <w:bCs/>
        </w:rPr>
        <w:t xml:space="preserve"> </w:t>
      </w:r>
      <w:r w:rsidR="00755F2F" w:rsidRPr="004762ED">
        <w:rPr>
          <w:rFonts w:ascii="Arial" w:hAnsi="Arial" w:cs="Arial"/>
          <w:bCs/>
        </w:rPr>
        <w:t>el periodo de mora para marcar la obligación como reestructurada</w:t>
      </w:r>
      <w:r w:rsidR="00F24B16" w:rsidRPr="004762ED">
        <w:rPr>
          <w:rFonts w:ascii="Arial" w:hAnsi="Arial" w:cs="Arial"/>
          <w:bCs/>
        </w:rPr>
        <w:t>.</w:t>
      </w:r>
    </w:p>
    <w:p w14:paraId="76BA5DC2" w14:textId="77777777" w:rsidR="00E05080" w:rsidRDefault="00E05080" w:rsidP="009250A9">
      <w:pPr>
        <w:pStyle w:val="Sinespaciado"/>
        <w:jc w:val="both"/>
        <w:rPr>
          <w:rFonts w:ascii="Arial" w:hAnsi="Arial" w:cs="Arial"/>
          <w:bCs/>
        </w:rPr>
      </w:pPr>
    </w:p>
    <w:p w14:paraId="18799B3E" w14:textId="74D4E76A" w:rsidR="006B37AF" w:rsidRDefault="008F10F4" w:rsidP="009250A9">
      <w:pPr>
        <w:pStyle w:val="Sinespaciado"/>
        <w:jc w:val="both"/>
        <w:rPr>
          <w:rFonts w:ascii="Arial" w:hAnsi="Arial" w:cs="Arial"/>
          <w:bCs/>
        </w:rPr>
      </w:pPr>
      <w:r w:rsidRPr="004762ED">
        <w:rPr>
          <w:rFonts w:ascii="Arial" w:hAnsi="Arial" w:cs="Arial"/>
          <w:b/>
          <w:bCs/>
        </w:rPr>
        <w:t>TERCERA</w:t>
      </w:r>
      <w:r w:rsidR="00755F2F" w:rsidRPr="004762ED">
        <w:rPr>
          <w:rFonts w:ascii="Arial" w:hAnsi="Arial" w:cs="Arial"/>
          <w:b/>
          <w:bCs/>
        </w:rPr>
        <w:t>:</w:t>
      </w:r>
      <w:r w:rsidR="00E05080">
        <w:rPr>
          <w:rFonts w:ascii="Arial" w:hAnsi="Arial" w:cs="Arial"/>
          <w:b/>
          <w:bCs/>
        </w:rPr>
        <w:t xml:space="preserve"> </w:t>
      </w:r>
      <w:r w:rsidR="006B37AF" w:rsidRPr="006B37AF">
        <w:rPr>
          <w:rFonts w:ascii="Arial" w:hAnsi="Arial" w:cs="Arial"/>
          <w:bCs/>
        </w:rPr>
        <w:t>Las organizaciones solidarias que aco</w:t>
      </w:r>
      <w:r w:rsidR="006B37AF">
        <w:rPr>
          <w:rFonts w:ascii="Arial" w:hAnsi="Arial" w:cs="Arial"/>
          <w:bCs/>
        </w:rPr>
        <w:t>j</w:t>
      </w:r>
      <w:r w:rsidR="006B37AF" w:rsidRPr="006B37AF">
        <w:rPr>
          <w:rFonts w:ascii="Arial" w:hAnsi="Arial" w:cs="Arial"/>
          <w:bCs/>
        </w:rPr>
        <w:t>an las instrucciones dispues</w:t>
      </w:r>
      <w:r w:rsidR="006B37AF">
        <w:rPr>
          <w:rFonts w:ascii="Arial" w:hAnsi="Arial" w:cs="Arial"/>
          <w:bCs/>
        </w:rPr>
        <w:t>t</w:t>
      </w:r>
      <w:r w:rsidR="006B37AF" w:rsidRPr="006B37AF">
        <w:rPr>
          <w:rFonts w:ascii="Arial" w:hAnsi="Arial" w:cs="Arial"/>
          <w:bCs/>
        </w:rPr>
        <w:t xml:space="preserve">as en esta circular </w:t>
      </w:r>
      <w:r w:rsidR="006B37AF">
        <w:rPr>
          <w:rFonts w:ascii="Arial" w:hAnsi="Arial" w:cs="Arial"/>
          <w:bCs/>
        </w:rPr>
        <w:t>deberán determinar:</w:t>
      </w:r>
    </w:p>
    <w:p w14:paraId="5AC17DFF" w14:textId="77777777" w:rsidR="006B37AF" w:rsidRDefault="006B37AF" w:rsidP="009250A9">
      <w:pPr>
        <w:pStyle w:val="Sinespaciado"/>
        <w:jc w:val="both"/>
        <w:rPr>
          <w:rFonts w:ascii="Arial" w:hAnsi="Arial" w:cs="Arial"/>
          <w:bCs/>
        </w:rPr>
      </w:pPr>
    </w:p>
    <w:p w14:paraId="4C9E40C9" w14:textId="43A7BBF8" w:rsidR="00755F2F" w:rsidRPr="006B37AF" w:rsidRDefault="006B37AF" w:rsidP="00383183">
      <w:pPr>
        <w:pStyle w:val="Sinespaciado"/>
        <w:numPr>
          <w:ilvl w:val="0"/>
          <w:numId w:val="9"/>
        </w:numPr>
        <w:jc w:val="both"/>
        <w:rPr>
          <w:rFonts w:ascii="Arial" w:hAnsi="Arial" w:cs="Arial"/>
          <w:b/>
          <w:bCs/>
        </w:rPr>
      </w:pPr>
      <w:r>
        <w:rPr>
          <w:rFonts w:ascii="Arial" w:hAnsi="Arial" w:cs="Arial"/>
          <w:bCs/>
        </w:rPr>
        <w:t>U</w:t>
      </w:r>
      <w:r w:rsidR="001B0D2A" w:rsidRPr="006B37AF">
        <w:rPr>
          <w:rFonts w:ascii="Arial" w:hAnsi="Arial" w:cs="Arial"/>
          <w:bCs/>
        </w:rPr>
        <w:t>n análisis técnico</w:t>
      </w:r>
      <w:r w:rsidR="0019574D" w:rsidRPr="006B37AF">
        <w:rPr>
          <w:rFonts w:ascii="Arial" w:hAnsi="Arial" w:cs="Arial"/>
          <w:bCs/>
        </w:rPr>
        <w:t>,</w:t>
      </w:r>
      <w:r w:rsidR="001B0D2A" w:rsidRPr="006B37AF">
        <w:rPr>
          <w:rFonts w:ascii="Arial" w:hAnsi="Arial" w:cs="Arial"/>
          <w:bCs/>
        </w:rPr>
        <w:t xml:space="preserve"> para </w:t>
      </w:r>
      <w:r w:rsidR="00307EB9">
        <w:rPr>
          <w:rFonts w:ascii="Arial" w:hAnsi="Arial" w:cs="Arial"/>
          <w:bCs/>
        </w:rPr>
        <w:t>establecer</w:t>
      </w:r>
      <w:r w:rsidR="001B0D2A" w:rsidRPr="006B37AF">
        <w:rPr>
          <w:rFonts w:ascii="Arial" w:hAnsi="Arial" w:cs="Arial"/>
          <w:bCs/>
        </w:rPr>
        <w:t xml:space="preserve"> el impacto financiero sobre la organización</w:t>
      </w:r>
      <w:r w:rsidR="008F10F4" w:rsidRPr="006B37AF">
        <w:rPr>
          <w:rFonts w:ascii="Arial" w:hAnsi="Arial" w:cs="Arial"/>
          <w:bCs/>
        </w:rPr>
        <w:t>,</w:t>
      </w:r>
      <w:r w:rsidR="00B660AA" w:rsidRPr="006B37AF">
        <w:rPr>
          <w:rFonts w:ascii="Arial" w:hAnsi="Arial" w:cs="Arial"/>
          <w:bCs/>
        </w:rPr>
        <w:t xml:space="preserve"> </w:t>
      </w:r>
      <w:r w:rsidR="001B0D2A" w:rsidRPr="006B37AF">
        <w:rPr>
          <w:rFonts w:ascii="Arial" w:hAnsi="Arial" w:cs="Arial"/>
          <w:bCs/>
        </w:rPr>
        <w:t>derivado de la aplicación de las medidas que se establezcan, el cual</w:t>
      </w:r>
      <w:r w:rsidR="0019574D" w:rsidRPr="006B37AF">
        <w:rPr>
          <w:rFonts w:ascii="Arial" w:hAnsi="Arial" w:cs="Arial"/>
          <w:bCs/>
        </w:rPr>
        <w:t>,</w:t>
      </w:r>
      <w:r w:rsidR="001B0D2A" w:rsidRPr="006B37AF">
        <w:rPr>
          <w:rFonts w:ascii="Arial" w:hAnsi="Arial" w:cs="Arial"/>
          <w:bCs/>
        </w:rPr>
        <w:t xml:space="preserve"> deberá considerar la estimación prospectiva del potencial deterioro de su cartera de crédito</w:t>
      </w:r>
      <w:r w:rsidR="00B660AA" w:rsidRPr="006B37AF">
        <w:rPr>
          <w:rFonts w:ascii="Arial" w:hAnsi="Arial" w:cs="Arial"/>
          <w:bCs/>
        </w:rPr>
        <w:t xml:space="preserve"> y</w:t>
      </w:r>
      <w:r w:rsidR="001B0D2A" w:rsidRPr="006B37AF">
        <w:rPr>
          <w:rFonts w:ascii="Arial" w:hAnsi="Arial" w:cs="Arial"/>
          <w:bCs/>
        </w:rPr>
        <w:t xml:space="preserve"> corresponder a políticas aprobadas previamente por el consejo de administración o junta directiva</w:t>
      </w:r>
      <w:r w:rsidR="00B660AA" w:rsidRPr="006B37AF">
        <w:rPr>
          <w:rFonts w:ascii="Arial" w:hAnsi="Arial" w:cs="Arial"/>
          <w:bCs/>
        </w:rPr>
        <w:t>. En este sentido,</w:t>
      </w:r>
      <w:r w:rsidR="001B0D2A" w:rsidRPr="006B37AF">
        <w:rPr>
          <w:rFonts w:ascii="Arial" w:hAnsi="Arial" w:cs="Arial"/>
          <w:bCs/>
        </w:rPr>
        <w:t xml:space="preserve"> deberán ser un recurso excepcional para regularizar el comportamiento de la cartera de créditos y no pueden convertirse en una práctica generalizada.</w:t>
      </w:r>
    </w:p>
    <w:p w14:paraId="770E6173" w14:textId="77777777" w:rsidR="00F979DF" w:rsidRPr="00F979DF" w:rsidRDefault="006B37AF" w:rsidP="009250A9">
      <w:pPr>
        <w:pStyle w:val="Sinespaciado"/>
        <w:numPr>
          <w:ilvl w:val="0"/>
          <w:numId w:val="9"/>
        </w:numPr>
        <w:jc w:val="both"/>
        <w:rPr>
          <w:rFonts w:ascii="Arial" w:hAnsi="Arial" w:cs="Arial"/>
          <w:b/>
          <w:bCs/>
        </w:rPr>
      </w:pPr>
      <w:r>
        <w:rPr>
          <w:rFonts w:ascii="Arial" w:hAnsi="Arial" w:cs="Arial"/>
          <w:bCs/>
          <w:color w:val="000000" w:themeColor="text1"/>
          <w:lang w:val="es-MX"/>
        </w:rPr>
        <w:t>A</w:t>
      </w:r>
      <w:r w:rsidR="008F10F4" w:rsidRPr="006B37AF">
        <w:rPr>
          <w:rFonts w:ascii="Arial" w:hAnsi="Arial" w:cs="Arial"/>
          <w:bCs/>
          <w:color w:val="000000" w:themeColor="text1"/>
          <w:lang w:val="es-MX"/>
        </w:rPr>
        <w:t xml:space="preserve">l interior de cada organización, </w:t>
      </w:r>
      <w:r>
        <w:rPr>
          <w:rFonts w:ascii="Arial" w:hAnsi="Arial" w:cs="Arial"/>
          <w:bCs/>
          <w:color w:val="000000" w:themeColor="text1"/>
          <w:lang w:val="es-MX"/>
        </w:rPr>
        <w:t>la identificación de las obligaciones de crédito sujetas</w:t>
      </w:r>
      <w:r w:rsidR="00F979DF">
        <w:rPr>
          <w:rFonts w:ascii="Arial" w:hAnsi="Arial" w:cs="Arial"/>
          <w:bCs/>
          <w:color w:val="000000" w:themeColor="text1"/>
          <w:lang w:val="es-MX"/>
        </w:rPr>
        <w:t xml:space="preserve"> a la aplicación de esta circular</w:t>
      </w:r>
      <w:r>
        <w:rPr>
          <w:rFonts w:ascii="Arial" w:hAnsi="Arial" w:cs="Arial"/>
          <w:bCs/>
          <w:color w:val="000000" w:themeColor="text1"/>
          <w:lang w:val="es-MX"/>
        </w:rPr>
        <w:t xml:space="preserve">, </w:t>
      </w:r>
      <w:r w:rsidR="00E659B3" w:rsidRPr="006B37AF">
        <w:rPr>
          <w:rFonts w:ascii="Arial" w:hAnsi="Arial" w:cs="Arial"/>
          <w:bCs/>
          <w:color w:val="000000" w:themeColor="text1"/>
          <w:lang w:val="es-MX"/>
        </w:rPr>
        <w:t>así como documentar todo el proceso, con el fin de monitorear el comportamiento de esta cartera y mantener disponible la información para la verificación</w:t>
      </w:r>
      <w:r w:rsidR="0019574D" w:rsidRPr="006B37AF">
        <w:rPr>
          <w:rFonts w:ascii="Arial" w:hAnsi="Arial" w:cs="Arial"/>
          <w:bCs/>
          <w:color w:val="000000" w:themeColor="text1"/>
          <w:lang w:val="es-MX"/>
        </w:rPr>
        <w:t>,</w:t>
      </w:r>
      <w:r w:rsidR="00E659B3" w:rsidRPr="006B37AF">
        <w:rPr>
          <w:rFonts w:ascii="Arial" w:hAnsi="Arial" w:cs="Arial"/>
          <w:bCs/>
          <w:color w:val="000000" w:themeColor="text1"/>
          <w:lang w:val="es-MX"/>
        </w:rPr>
        <w:t xml:space="preserve"> por parte de los órganos internos y externos de auditoría y de esta Superintendencia.</w:t>
      </w:r>
      <w:r w:rsidR="00177F6B" w:rsidRPr="006B37AF">
        <w:rPr>
          <w:rFonts w:ascii="Arial" w:hAnsi="Arial" w:cs="Arial"/>
          <w:bCs/>
          <w:color w:val="000000" w:themeColor="text1"/>
          <w:lang w:val="es-MX"/>
        </w:rPr>
        <w:t xml:space="preserve"> </w:t>
      </w:r>
    </w:p>
    <w:p w14:paraId="44E0675F" w14:textId="6FEA93A1" w:rsidR="00F979DF" w:rsidRPr="00F979DF" w:rsidRDefault="00F979DF" w:rsidP="009250A9">
      <w:pPr>
        <w:pStyle w:val="Sinespaciado"/>
        <w:numPr>
          <w:ilvl w:val="0"/>
          <w:numId w:val="9"/>
        </w:numPr>
        <w:jc w:val="both"/>
        <w:rPr>
          <w:rFonts w:ascii="Arial" w:hAnsi="Arial" w:cs="Arial"/>
          <w:b/>
          <w:bCs/>
        </w:rPr>
      </w:pPr>
      <w:r>
        <w:rPr>
          <w:rFonts w:ascii="Arial" w:hAnsi="Arial" w:cs="Arial"/>
          <w:bCs/>
        </w:rPr>
        <w:t>U</w:t>
      </w:r>
      <w:r w:rsidRPr="00F979DF">
        <w:rPr>
          <w:rFonts w:ascii="Arial" w:hAnsi="Arial" w:cs="Arial"/>
          <w:bCs/>
        </w:rPr>
        <w:t>na estrategia</w:t>
      </w:r>
      <w:r w:rsidRPr="006B37AF">
        <w:rPr>
          <w:rFonts w:ascii="Arial" w:hAnsi="Arial" w:cs="Arial"/>
          <w:bCs/>
        </w:rPr>
        <w:t xml:space="preserve"> de comunicación que les permita dar a conocer a sus asociados, las políticas </w:t>
      </w:r>
      <w:r>
        <w:rPr>
          <w:rFonts w:ascii="Arial" w:hAnsi="Arial" w:cs="Arial"/>
          <w:bCs/>
        </w:rPr>
        <w:t xml:space="preserve">que se </w:t>
      </w:r>
      <w:r w:rsidRPr="006B37AF">
        <w:rPr>
          <w:rFonts w:ascii="Arial" w:hAnsi="Arial" w:cs="Arial"/>
          <w:bCs/>
        </w:rPr>
        <w:t>adopt</w:t>
      </w:r>
      <w:r>
        <w:rPr>
          <w:rFonts w:ascii="Arial" w:hAnsi="Arial" w:cs="Arial"/>
          <w:bCs/>
        </w:rPr>
        <w:t>en</w:t>
      </w:r>
      <w:r w:rsidRPr="006B37AF">
        <w:rPr>
          <w:rFonts w:ascii="Arial" w:hAnsi="Arial" w:cs="Arial"/>
          <w:bCs/>
        </w:rPr>
        <w:t xml:space="preserve"> </w:t>
      </w:r>
      <w:r>
        <w:rPr>
          <w:rFonts w:ascii="Arial" w:hAnsi="Arial" w:cs="Arial"/>
          <w:bCs/>
        </w:rPr>
        <w:t>y sus efectos, e</w:t>
      </w:r>
      <w:r w:rsidRPr="00F979DF">
        <w:rPr>
          <w:rFonts w:ascii="Arial" w:hAnsi="Arial" w:cs="Arial"/>
          <w:bCs/>
        </w:rPr>
        <w:t>n concordancia con lo previsto en el Estatuto de Protección al Consumidor (Ley 1480 de 2011) y las demás normas que lo adici</w:t>
      </w:r>
      <w:r>
        <w:rPr>
          <w:rFonts w:ascii="Arial" w:hAnsi="Arial" w:cs="Arial"/>
          <w:bCs/>
        </w:rPr>
        <w:t>onen, modifiquen o complementen.</w:t>
      </w:r>
    </w:p>
    <w:p w14:paraId="490E1914" w14:textId="77777777" w:rsidR="009250A9" w:rsidRPr="004762ED" w:rsidRDefault="009250A9" w:rsidP="009250A9">
      <w:pPr>
        <w:pStyle w:val="Sinespaciado"/>
        <w:jc w:val="both"/>
        <w:rPr>
          <w:rFonts w:ascii="Arial" w:hAnsi="Arial" w:cs="Arial"/>
          <w:b/>
          <w:bCs/>
        </w:rPr>
      </w:pPr>
    </w:p>
    <w:p w14:paraId="4F947B4F" w14:textId="77777777" w:rsidR="00C46654" w:rsidRDefault="00C46654" w:rsidP="009250A9">
      <w:pPr>
        <w:pStyle w:val="Sinespaciado"/>
        <w:jc w:val="both"/>
        <w:rPr>
          <w:rFonts w:ascii="Arial" w:hAnsi="Arial" w:cs="Arial"/>
          <w:b/>
          <w:bCs/>
        </w:rPr>
      </w:pPr>
    </w:p>
    <w:p w14:paraId="34F882DC" w14:textId="51BCB5BA" w:rsidR="00C10D42" w:rsidRPr="004762ED" w:rsidRDefault="004B6331" w:rsidP="009250A9">
      <w:pPr>
        <w:pStyle w:val="Sinespaciado"/>
        <w:jc w:val="both"/>
        <w:rPr>
          <w:rFonts w:ascii="Arial" w:hAnsi="Arial" w:cs="Arial"/>
          <w:b/>
          <w:bCs/>
        </w:rPr>
      </w:pPr>
      <w:r>
        <w:rPr>
          <w:rFonts w:ascii="Arial" w:hAnsi="Arial" w:cs="Arial"/>
          <w:b/>
          <w:bCs/>
        </w:rPr>
        <w:t>CUARTA</w:t>
      </w:r>
      <w:r w:rsidR="003C5A72" w:rsidRPr="004762ED">
        <w:rPr>
          <w:rFonts w:ascii="Arial" w:hAnsi="Arial" w:cs="Arial"/>
          <w:b/>
          <w:bCs/>
        </w:rPr>
        <w:t xml:space="preserve">: </w:t>
      </w:r>
      <w:r w:rsidR="00C10D42" w:rsidRPr="004762ED">
        <w:rPr>
          <w:rFonts w:ascii="Arial" w:hAnsi="Arial" w:cs="Arial"/>
          <w:bCs/>
        </w:rPr>
        <w:t xml:space="preserve">Modificar el numeral 5.2.1.4.3 del Capítulo II, Título IV de la Circular Básica Contable y Financiera, respecto a los casos de excepción a la consulta a las centrales de riesgo para el otorgamiento de créditos. </w:t>
      </w:r>
    </w:p>
    <w:p w14:paraId="3CE4E3FD" w14:textId="77777777" w:rsidR="009250A9" w:rsidRPr="004762ED" w:rsidRDefault="009250A9" w:rsidP="009250A9">
      <w:pPr>
        <w:pStyle w:val="Sinespaciado"/>
        <w:jc w:val="both"/>
        <w:rPr>
          <w:rFonts w:ascii="Arial" w:hAnsi="Arial" w:cs="Arial"/>
          <w:b/>
          <w:bCs/>
        </w:rPr>
      </w:pPr>
    </w:p>
    <w:p w14:paraId="4095DAD1" w14:textId="1D192B40" w:rsidR="00C10D42" w:rsidRPr="004762ED" w:rsidRDefault="004B6331" w:rsidP="009250A9">
      <w:pPr>
        <w:pStyle w:val="Sinespaciado"/>
        <w:jc w:val="both"/>
        <w:rPr>
          <w:rFonts w:ascii="Arial" w:hAnsi="Arial" w:cs="Arial"/>
          <w:b/>
          <w:bCs/>
        </w:rPr>
      </w:pPr>
      <w:r>
        <w:rPr>
          <w:rFonts w:ascii="Arial" w:hAnsi="Arial" w:cs="Arial"/>
          <w:b/>
          <w:bCs/>
        </w:rPr>
        <w:t>QUINT</w:t>
      </w:r>
      <w:r w:rsidR="00C10D42" w:rsidRPr="004762ED">
        <w:rPr>
          <w:rFonts w:ascii="Arial" w:hAnsi="Arial" w:cs="Arial"/>
          <w:b/>
          <w:bCs/>
        </w:rPr>
        <w:t xml:space="preserve">A: </w:t>
      </w:r>
      <w:r w:rsidR="00C10D42" w:rsidRPr="004762ED">
        <w:rPr>
          <w:rFonts w:ascii="Arial" w:hAnsi="Arial" w:cs="Arial"/>
          <w:bCs/>
        </w:rPr>
        <w:t xml:space="preserve">Modificar el numeral 5.2.2.2.1 del Capítulo II, Título IV de la Circular Básica Contable y Financiera, respecto a los casos de excepción a la consulta a las centrales de riesgo en el proceso de evaluación de la cartera de créditos. </w:t>
      </w:r>
    </w:p>
    <w:p w14:paraId="6827C4B7" w14:textId="77777777" w:rsidR="00C10D42" w:rsidRPr="004762ED" w:rsidRDefault="00C10D42" w:rsidP="009250A9">
      <w:pPr>
        <w:pStyle w:val="Sinespaciado"/>
        <w:jc w:val="both"/>
        <w:rPr>
          <w:rFonts w:ascii="Arial" w:hAnsi="Arial" w:cs="Arial"/>
          <w:b/>
          <w:bCs/>
        </w:rPr>
      </w:pPr>
    </w:p>
    <w:p w14:paraId="0C05CC4F" w14:textId="2AABB0A0" w:rsidR="00FD6B99" w:rsidRPr="004762ED" w:rsidRDefault="004B6331" w:rsidP="009250A9">
      <w:pPr>
        <w:pStyle w:val="Sinespaciado"/>
        <w:jc w:val="both"/>
        <w:rPr>
          <w:rFonts w:ascii="Arial" w:hAnsi="Arial" w:cs="Arial"/>
          <w:b/>
          <w:bCs/>
        </w:rPr>
      </w:pPr>
      <w:r>
        <w:rPr>
          <w:rFonts w:ascii="Arial" w:hAnsi="Arial" w:cs="Arial"/>
          <w:b/>
          <w:bCs/>
        </w:rPr>
        <w:lastRenderedPageBreak/>
        <w:t>SEXTA</w:t>
      </w:r>
      <w:r w:rsidR="00FD6B99" w:rsidRPr="004762ED">
        <w:rPr>
          <w:rFonts w:ascii="Arial" w:hAnsi="Arial" w:cs="Arial"/>
          <w:b/>
          <w:bCs/>
        </w:rPr>
        <w:t>:</w:t>
      </w:r>
      <w:r w:rsidR="00FD6B99" w:rsidRPr="004762ED">
        <w:rPr>
          <w:rFonts w:ascii="Arial" w:hAnsi="Arial" w:cs="Arial"/>
          <w:bCs/>
        </w:rPr>
        <w:t xml:space="preserve"> Modificar el numeral 5.2.3.1 del Capítulo II, Título IV de la Circular Básica Contable y Financiera, respecto al periodo para eliminar</w:t>
      </w:r>
      <w:r w:rsidR="00FE636E" w:rsidRPr="004762ED">
        <w:rPr>
          <w:rFonts w:ascii="Arial" w:hAnsi="Arial" w:cs="Arial"/>
          <w:bCs/>
        </w:rPr>
        <w:t xml:space="preserve"> </w:t>
      </w:r>
      <w:r w:rsidR="00FD6B99" w:rsidRPr="004762ED">
        <w:rPr>
          <w:rFonts w:ascii="Arial" w:hAnsi="Arial" w:cs="Arial"/>
          <w:bCs/>
        </w:rPr>
        <w:t xml:space="preserve">la condición de reestructurado. </w:t>
      </w:r>
    </w:p>
    <w:p w14:paraId="2BA7727A" w14:textId="77777777" w:rsidR="00FD6B99" w:rsidRDefault="00FD6B99" w:rsidP="009250A9">
      <w:pPr>
        <w:pStyle w:val="Sinespaciado"/>
        <w:jc w:val="both"/>
        <w:rPr>
          <w:rFonts w:ascii="Arial" w:hAnsi="Arial" w:cs="Arial"/>
          <w:b/>
          <w:bCs/>
        </w:rPr>
      </w:pPr>
    </w:p>
    <w:p w14:paraId="1B2FBD0B" w14:textId="41474594" w:rsidR="00B60A7C" w:rsidRPr="004762ED" w:rsidRDefault="00E1732D" w:rsidP="00B60A7C">
      <w:pPr>
        <w:pStyle w:val="Sinespaciado"/>
        <w:jc w:val="both"/>
        <w:rPr>
          <w:rFonts w:ascii="Arial" w:hAnsi="Arial" w:cs="Arial"/>
          <w:color w:val="000000" w:themeColor="text1"/>
        </w:rPr>
      </w:pPr>
      <w:r>
        <w:rPr>
          <w:rFonts w:ascii="Arial" w:hAnsi="Arial" w:cs="Arial"/>
          <w:b/>
          <w:bCs/>
        </w:rPr>
        <w:t>SÉPTIMA:</w:t>
      </w:r>
      <w:r w:rsidR="00C23BA2" w:rsidRPr="00C23BA2">
        <w:rPr>
          <w:rFonts w:ascii="Arial" w:hAnsi="Arial" w:cs="Arial"/>
          <w:b/>
          <w:bCs/>
        </w:rPr>
        <w:t xml:space="preserve"> </w:t>
      </w:r>
      <w:r w:rsidR="009C596A" w:rsidRPr="009C596A">
        <w:rPr>
          <w:rFonts w:ascii="Arial" w:hAnsi="Arial" w:cs="Arial"/>
          <w:bCs/>
        </w:rPr>
        <w:t xml:space="preserve">Modificar los anexos </w:t>
      </w:r>
      <w:r w:rsidR="009C596A">
        <w:rPr>
          <w:rFonts w:ascii="Arial" w:hAnsi="Arial" w:cs="Arial"/>
          <w:bCs/>
        </w:rPr>
        <w:t>1</w:t>
      </w:r>
      <w:r w:rsidR="009C596A" w:rsidRPr="009C596A">
        <w:rPr>
          <w:rFonts w:ascii="Arial" w:hAnsi="Arial" w:cs="Arial"/>
          <w:bCs/>
        </w:rPr>
        <w:t xml:space="preserve"> y </w:t>
      </w:r>
      <w:r w:rsidR="009C596A">
        <w:rPr>
          <w:rFonts w:ascii="Arial" w:hAnsi="Arial" w:cs="Arial"/>
          <w:bCs/>
        </w:rPr>
        <w:t>2</w:t>
      </w:r>
      <w:r w:rsidR="009C596A" w:rsidRPr="009C596A">
        <w:rPr>
          <w:rFonts w:ascii="Arial" w:hAnsi="Arial" w:cs="Arial"/>
          <w:bCs/>
        </w:rPr>
        <w:t xml:space="preserve"> del Capítulo II, Título IV de la Circular Básica Contable y Financiera</w:t>
      </w:r>
      <w:r w:rsidR="009C596A">
        <w:rPr>
          <w:rFonts w:ascii="Arial" w:hAnsi="Arial" w:cs="Arial"/>
          <w:bCs/>
        </w:rPr>
        <w:t xml:space="preserve"> en los siguientes numerales:</w:t>
      </w:r>
      <w:r w:rsidR="00B60A7C">
        <w:rPr>
          <w:rFonts w:ascii="Arial" w:hAnsi="Arial" w:cs="Arial"/>
          <w:bCs/>
        </w:rPr>
        <w:t xml:space="preserve"> </w:t>
      </w:r>
    </w:p>
    <w:p w14:paraId="5F06448E" w14:textId="19F9B209" w:rsidR="009C596A" w:rsidRDefault="009C596A" w:rsidP="004B6331">
      <w:pPr>
        <w:pStyle w:val="Sinespaciado"/>
        <w:jc w:val="both"/>
        <w:rPr>
          <w:rFonts w:ascii="Arial" w:hAnsi="Arial" w:cs="Arial"/>
          <w:b/>
          <w:bCs/>
        </w:rPr>
      </w:pPr>
    </w:p>
    <w:p w14:paraId="159F2339" w14:textId="1A354743" w:rsidR="004B6331" w:rsidRPr="006E7A33" w:rsidRDefault="009C596A" w:rsidP="009C596A">
      <w:pPr>
        <w:pStyle w:val="Sinespaciado"/>
        <w:numPr>
          <w:ilvl w:val="0"/>
          <w:numId w:val="10"/>
        </w:numPr>
        <w:jc w:val="both"/>
        <w:rPr>
          <w:rFonts w:ascii="Arial" w:hAnsi="Arial" w:cs="Arial"/>
          <w:bCs/>
        </w:rPr>
      </w:pPr>
      <w:r w:rsidRPr="004762ED">
        <w:rPr>
          <w:rFonts w:ascii="Arial" w:hAnsi="Arial" w:cs="Arial"/>
          <w:bCs/>
        </w:rPr>
        <w:t>Modificar el numeral 4.2 del Anexo 1 del Capítulo II, Título IV de la Circular Básica Contable y Financiera, con el propósito de ajustar el porcentaje del deterioro para la cartera de microcrédito</w:t>
      </w:r>
      <w:r w:rsidRPr="004762ED">
        <w:rPr>
          <w:rFonts w:ascii="Arial" w:hAnsi="Arial" w:cs="Arial"/>
          <w:color w:val="000000" w:themeColor="text1"/>
        </w:rPr>
        <w:t>.</w:t>
      </w:r>
    </w:p>
    <w:p w14:paraId="0DA26F6E" w14:textId="77777777" w:rsidR="00E05080" w:rsidRDefault="00E05080" w:rsidP="009250A9">
      <w:pPr>
        <w:pStyle w:val="Sinespaciado"/>
        <w:jc w:val="both"/>
        <w:rPr>
          <w:rFonts w:ascii="Arial" w:hAnsi="Arial" w:cs="Arial"/>
          <w:b/>
          <w:bCs/>
        </w:rPr>
      </w:pPr>
    </w:p>
    <w:p w14:paraId="2F6097D6" w14:textId="56467051" w:rsidR="009250A9" w:rsidRPr="00B60A7C" w:rsidRDefault="009C596A" w:rsidP="009250A9">
      <w:pPr>
        <w:pStyle w:val="Sinespaciado"/>
        <w:numPr>
          <w:ilvl w:val="0"/>
          <w:numId w:val="10"/>
        </w:numPr>
        <w:jc w:val="both"/>
        <w:rPr>
          <w:rFonts w:ascii="Arial" w:hAnsi="Arial" w:cs="Arial"/>
          <w:color w:val="000000" w:themeColor="text1"/>
        </w:rPr>
      </w:pPr>
      <w:r w:rsidRPr="00B60A7C">
        <w:rPr>
          <w:rFonts w:ascii="Arial" w:hAnsi="Arial" w:cs="Arial"/>
          <w:bCs/>
        </w:rPr>
        <w:t>Modificar la tabla del numeral 3.4 del Anexo 2 del Capítulo II,</w:t>
      </w:r>
      <w:r w:rsidRPr="00B60A7C">
        <w:rPr>
          <w:rFonts w:ascii="Arial" w:hAnsi="Arial" w:cs="Arial"/>
          <w:color w:val="FF0000"/>
        </w:rPr>
        <w:t xml:space="preserve"> </w:t>
      </w:r>
      <w:r w:rsidRPr="00B60A7C">
        <w:rPr>
          <w:rFonts w:ascii="Arial" w:hAnsi="Arial" w:cs="Arial"/>
          <w:bCs/>
        </w:rPr>
        <w:t xml:space="preserve">Título IV de la Circular Básica Contable y Financiera, respecto a los rangos de calificación por modelos de referencia. </w:t>
      </w:r>
    </w:p>
    <w:p w14:paraId="16D0814B" w14:textId="77777777" w:rsidR="00B60A7C" w:rsidRPr="00B60A7C" w:rsidRDefault="00B60A7C" w:rsidP="00B60A7C">
      <w:pPr>
        <w:pStyle w:val="Sinespaciado"/>
        <w:jc w:val="both"/>
        <w:rPr>
          <w:rFonts w:ascii="Arial" w:hAnsi="Arial" w:cs="Arial"/>
          <w:color w:val="000000" w:themeColor="text1"/>
        </w:rPr>
      </w:pPr>
    </w:p>
    <w:p w14:paraId="2B2CF8FD" w14:textId="434776B8" w:rsidR="00091B37" w:rsidRPr="004762ED" w:rsidRDefault="00091B37" w:rsidP="009C596A">
      <w:pPr>
        <w:pStyle w:val="Sinespaciado"/>
        <w:numPr>
          <w:ilvl w:val="0"/>
          <w:numId w:val="10"/>
        </w:numPr>
        <w:jc w:val="both"/>
        <w:rPr>
          <w:rFonts w:ascii="Arial" w:hAnsi="Arial" w:cs="Arial"/>
          <w:color w:val="FF0000"/>
        </w:rPr>
      </w:pPr>
      <w:r w:rsidRPr="004762ED">
        <w:rPr>
          <w:rFonts w:ascii="Arial" w:hAnsi="Arial" w:cs="Arial"/>
          <w:bCs/>
        </w:rPr>
        <w:t>Modificar</w:t>
      </w:r>
      <w:r w:rsidR="009E298D" w:rsidRPr="004762ED">
        <w:rPr>
          <w:rFonts w:ascii="Arial" w:hAnsi="Arial" w:cs="Arial"/>
          <w:bCs/>
        </w:rPr>
        <w:t xml:space="preserve"> el numeral 4.3 del Anexo 2 del Capítulo II,</w:t>
      </w:r>
      <w:r w:rsidR="009E298D" w:rsidRPr="004762ED">
        <w:rPr>
          <w:rFonts w:ascii="Arial" w:hAnsi="Arial" w:cs="Arial"/>
          <w:color w:val="FF0000"/>
        </w:rPr>
        <w:t xml:space="preserve"> </w:t>
      </w:r>
      <w:r w:rsidR="009E298D" w:rsidRPr="004762ED">
        <w:rPr>
          <w:rFonts w:ascii="Arial" w:hAnsi="Arial" w:cs="Arial"/>
          <w:bCs/>
        </w:rPr>
        <w:t>Título IV de la Circular Básica Contable y Financiera, respecto d</w:t>
      </w:r>
      <w:r w:rsidR="009C6F4D" w:rsidRPr="004762ED">
        <w:rPr>
          <w:rFonts w:ascii="Arial" w:hAnsi="Arial" w:cs="Arial"/>
          <w:bCs/>
        </w:rPr>
        <w:t>e</w:t>
      </w:r>
      <w:r w:rsidRPr="004762ED">
        <w:rPr>
          <w:rFonts w:ascii="Arial" w:hAnsi="Arial" w:cs="Arial"/>
          <w:bCs/>
        </w:rPr>
        <w:t xml:space="preserve">l </w:t>
      </w:r>
      <w:r w:rsidR="00D04EE2" w:rsidRPr="004762ED">
        <w:rPr>
          <w:rFonts w:ascii="Arial" w:hAnsi="Arial" w:cs="Arial"/>
          <w:bCs/>
        </w:rPr>
        <w:t xml:space="preserve">porcentaje </w:t>
      </w:r>
      <w:r w:rsidRPr="004762ED">
        <w:rPr>
          <w:rFonts w:ascii="Arial" w:hAnsi="Arial" w:cs="Arial"/>
          <w:bCs/>
        </w:rPr>
        <w:t xml:space="preserve">de Pérdida Dado el Incumplimiento - PDI </w:t>
      </w:r>
      <w:r w:rsidR="009C6F4D" w:rsidRPr="004762ED">
        <w:rPr>
          <w:rFonts w:ascii="Arial" w:hAnsi="Arial" w:cs="Arial"/>
          <w:bCs/>
        </w:rPr>
        <w:t xml:space="preserve">establecido </w:t>
      </w:r>
      <w:r w:rsidR="0006361F" w:rsidRPr="004762ED">
        <w:rPr>
          <w:rFonts w:ascii="Arial" w:hAnsi="Arial" w:cs="Arial"/>
          <w:bCs/>
        </w:rPr>
        <w:t>para los tipos de garantía “</w:t>
      </w:r>
      <w:r w:rsidR="0006361F" w:rsidRPr="004762ED">
        <w:rPr>
          <w:rFonts w:ascii="Arial" w:hAnsi="Arial" w:cs="Arial"/>
          <w:iCs/>
          <w:color w:val="000000"/>
          <w:lang w:eastAsia="es-CO"/>
        </w:rPr>
        <w:t xml:space="preserve">NO IDÓNEA” y “SIN GARANTÍA”, segmentado por </w:t>
      </w:r>
      <w:r w:rsidR="009E298D" w:rsidRPr="004762ED">
        <w:rPr>
          <w:rFonts w:ascii="Arial" w:hAnsi="Arial" w:cs="Arial"/>
          <w:iCs/>
          <w:color w:val="000000"/>
          <w:lang w:eastAsia="es-CO"/>
        </w:rPr>
        <w:t xml:space="preserve">modalidad </w:t>
      </w:r>
      <w:r w:rsidR="0006361F" w:rsidRPr="004762ED">
        <w:rPr>
          <w:rFonts w:ascii="Arial" w:hAnsi="Arial" w:cs="Arial"/>
          <w:iCs/>
          <w:color w:val="000000"/>
          <w:lang w:eastAsia="es-CO"/>
        </w:rPr>
        <w:t>de cartera.</w:t>
      </w:r>
      <w:r w:rsidRPr="004762ED">
        <w:rPr>
          <w:rFonts w:ascii="Arial" w:hAnsi="Arial" w:cs="Arial"/>
          <w:color w:val="000000" w:themeColor="text1"/>
        </w:rPr>
        <w:t xml:space="preserve"> </w:t>
      </w:r>
    </w:p>
    <w:p w14:paraId="27ADAEC1" w14:textId="77777777" w:rsidR="009250A9" w:rsidRPr="004762ED" w:rsidRDefault="009250A9" w:rsidP="009250A9">
      <w:pPr>
        <w:pStyle w:val="Sinespaciado"/>
        <w:jc w:val="both"/>
        <w:rPr>
          <w:rFonts w:ascii="Arial" w:hAnsi="Arial" w:cs="Arial"/>
          <w:color w:val="FF0000"/>
        </w:rPr>
      </w:pPr>
    </w:p>
    <w:p w14:paraId="52E24B4D" w14:textId="7780706A" w:rsidR="00FD6B99" w:rsidRPr="009C596A" w:rsidRDefault="009C596A" w:rsidP="009250A9">
      <w:pPr>
        <w:pStyle w:val="Sinespaciado"/>
        <w:jc w:val="both"/>
        <w:rPr>
          <w:rFonts w:ascii="Arial" w:hAnsi="Arial" w:cs="Arial"/>
          <w:bCs/>
        </w:rPr>
      </w:pPr>
      <w:r>
        <w:rPr>
          <w:rFonts w:ascii="Arial" w:hAnsi="Arial" w:cs="Arial"/>
          <w:b/>
          <w:bCs/>
        </w:rPr>
        <w:t>PARAGRAFO 1:</w:t>
      </w:r>
      <w:r w:rsidR="00755F2F" w:rsidRPr="004762ED">
        <w:rPr>
          <w:rFonts w:ascii="Arial" w:hAnsi="Arial" w:cs="Arial"/>
          <w:bCs/>
        </w:rPr>
        <w:t xml:space="preserve"> </w:t>
      </w:r>
      <w:r w:rsidR="00FE636E" w:rsidRPr="009C596A">
        <w:rPr>
          <w:rFonts w:ascii="Arial" w:hAnsi="Arial" w:cs="Arial"/>
          <w:bCs/>
        </w:rPr>
        <w:t>En los casos en los que la</w:t>
      </w:r>
      <w:r w:rsidR="0061582F" w:rsidRPr="009C596A">
        <w:rPr>
          <w:rFonts w:ascii="Arial" w:hAnsi="Arial" w:cs="Arial"/>
          <w:bCs/>
        </w:rPr>
        <w:t xml:space="preserve"> aplicación de las </w:t>
      </w:r>
      <w:r w:rsidR="00E05080" w:rsidRPr="009C596A">
        <w:rPr>
          <w:rFonts w:ascii="Arial" w:hAnsi="Arial" w:cs="Arial"/>
          <w:bCs/>
        </w:rPr>
        <w:t>instrucciones</w:t>
      </w:r>
      <w:r w:rsidR="0061582F" w:rsidRPr="009C596A">
        <w:rPr>
          <w:rFonts w:ascii="Arial" w:hAnsi="Arial" w:cs="Arial"/>
          <w:bCs/>
        </w:rPr>
        <w:t xml:space="preserve">, </w:t>
      </w:r>
      <w:r w:rsidR="00FE636E" w:rsidRPr="009C596A">
        <w:rPr>
          <w:rFonts w:ascii="Arial" w:hAnsi="Arial" w:cs="Arial"/>
          <w:bCs/>
        </w:rPr>
        <w:t>pueda</w:t>
      </w:r>
      <w:r w:rsidR="00AE4BFB">
        <w:rPr>
          <w:rFonts w:ascii="Arial" w:hAnsi="Arial" w:cs="Arial"/>
          <w:bCs/>
        </w:rPr>
        <w:t>n</w:t>
      </w:r>
      <w:r w:rsidR="00FE636E" w:rsidRPr="009C596A">
        <w:rPr>
          <w:rFonts w:ascii="Arial" w:hAnsi="Arial" w:cs="Arial"/>
          <w:bCs/>
        </w:rPr>
        <w:t xml:space="preserve"> </w:t>
      </w:r>
      <w:r w:rsidR="0061582F" w:rsidRPr="009C596A">
        <w:rPr>
          <w:rFonts w:ascii="Arial" w:hAnsi="Arial" w:cs="Arial"/>
          <w:bCs/>
        </w:rPr>
        <w:t>dar lugar a la revers</w:t>
      </w:r>
      <w:r w:rsidR="00AE4BFB">
        <w:rPr>
          <w:rFonts w:ascii="Arial" w:hAnsi="Arial" w:cs="Arial"/>
          <w:bCs/>
        </w:rPr>
        <w:t xml:space="preserve">ión de deterioros (provisiones) que favorezcan el estado de resultados de las organizaciones, es </w:t>
      </w:r>
      <w:r>
        <w:rPr>
          <w:rFonts w:ascii="Arial" w:hAnsi="Arial" w:cs="Arial"/>
          <w:bCs/>
        </w:rPr>
        <w:t>preciso que</w:t>
      </w:r>
      <w:r w:rsidR="00FE636E" w:rsidRPr="009C596A">
        <w:rPr>
          <w:rFonts w:ascii="Arial" w:hAnsi="Arial" w:cs="Arial"/>
          <w:bCs/>
        </w:rPr>
        <w:t xml:space="preserve"> </w:t>
      </w:r>
      <w:r w:rsidR="00AE4BFB">
        <w:rPr>
          <w:rFonts w:ascii="Arial" w:hAnsi="Arial" w:cs="Arial"/>
          <w:bCs/>
        </w:rPr>
        <w:t xml:space="preserve">se </w:t>
      </w:r>
      <w:r w:rsidRPr="009C596A">
        <w:rPr>
          <w:rFonts w:ascii="Arial" w:hAnsi="Arial" w:cs="Arial"/>
          <w:bCs/>
        </w:rPr>
        <w:t>evalú</w:t>
      </w:r>
      <w:r w:rsidR="00AE4BFB">
        <w:rPr>
          <w:rFonts w:ascii="Arial" w:hAnsi="Arial" w:cs="Arial"/>
          <w:bCs/>
        </w:rPr>
        <w:t>e</w:t>
      </w:r>
      <w:r w:rsidR="00FE636E" w:rsidRPr="009C596A">
        <w:rPr>
          <w:rFonts w:ascii="Arial" w:hAnsi="Arial" w:cs="Arial"/>
          <w:bCs/>
        </w:rPr>
        <w:t xml:space="preserve"> </w:t>
      </w:r>
      <w:r w:rsidR="00AE4BFB">
        <w:rPr>
          <w:rFonts w:ascii="Arial" w:hAnsi="Arial" w:cs="Arial"/>
          <w:bCs/>
        </w:rPr>
        <w:t>el impacto</w:t>
      </w:r>
      <w:r w:rsidR="0061582F" w:rsidRPr="009C596A">
        <w:rPr>
          <w:rFonts w:ascii="Arial" w:hAnsi="Arial" w:cs="Arial"/>
          <w:bCs/>
        </w:rPr>
        <w:t xml:space="preserve"> </w:t>
      </w:r>
      <w:r w:rsidR="00FE636E" w:rsidRPr="009C596A">
        <w:rPr>
          <w:rFonts w:ascii="Arial" w:hAnsi="Arial" w:cs="Arial"/>
          <w:bCs/>
        </w:rPr>
        <w:t xml:space="preserve">que </w:t>
      </w:r>
      <w:r w:rsidR="00664AD1">
        <w:rPr>
          <w:rFonts w:ascii="Arial" w:hAnsi="Arial" w:cs="Arial"/>
          <w:bCs/>
        </w:rPr>
        <w:t xml:space="preserve">éstos </w:t>
      </w:r>
      <w:r w:rsidR="00FE636E" w:rsidRPr="009C596A">
        <w:rPr>
          <w:rFonts w:ascii="Arial" w:hAnsi="Arial" w:cs="Arial"/>
          <w:bCs/>
        </w:rPr>
        <w:t>pueda</w:t>
      </w:r>
      <w:r>
        <w:rPr>
          <w:rFonts w:ascii="Arial" w:hAnsi="Arial" w:cs="Arial"/>
          <w:bCs/>
        </w:rPr>
        <w:t>n</w:t>
      </w:r>
      <w:r w:rsidR="00FE636E" w:rsidRPr="009C596A">
        <w:rPr>
          <w:rFonts w:ascii="Arial" w:hAnsi="Arial" w:cs="Arial"/>
          <w:bCs/>
        </w:rPr>
        <w:t xml:space="preserve"> generar </w:t>
      </w:r>
      <w:r w:rsidR="0061582F" w:rsidRPr="009C596A">
        <w:rPr>
          <w:rFonts w:ascii="Arial" w:hAnsi="Arial" w:cs="Arial"/>
          <w:bCs/>
        </w:rPr>
        <w:t xml:space="preserve">sobre </w:t>
      </w:r>
      <w:r w:rsidR="00767E8F">
        <w:rPr>
          <w:rFonts w:ascii="Arial" w:hAnsi="Arial" w:cs="Arial"/>
          <w:bCs/>
        </w:rPr>
        <w:t>la liquidez</w:t>
      </w:r>
      <w:r w:rsidR="00AE4BFB">
        <w:rPr>
          <w:rFonts w:ascii="Arial" w:hAnsi="Arial" w:cs="Arial"/>
          <w:bCs/>
        </w:rPr>
        <w:t>.</w:t>
      </w:r>
      <w:r w:rsidR="00340D96">
        <w:rPr>
          <w:rFonts w:ascii="Arial" w:hAnsi="Arial" w:cs="Arial"/>
          <w:bCs/>
        </w:rPr>
        <w:t xml:space="preserve"> </w:t>
      </w:r>
    </w:p>
    <w:p w14:paraId="6B496241" w14:textId="77777777" w:rsidR="00FE636E" w:rsidRPr="00C46654" w:rsidRDefault="00FE636E" w:rsidP="009250A9">
      <w:pPr>
        <w:pStyle w:val="Sinespaciado"/>
        <w:jc w:val="both"/>
        <w:rPr>
          <w:rFonts w:ascii="Arial" w:hAnsi="Arial" w:cs="Arial"/>
          <w:bCs/>
          <w:sz w:val="10"/>
        </w:rPr>
      </w:pPr>
    </w:p>
    <w:p w14:paraId="1E8F509A" w14:textId="7619D1AD" w:rsidR="009250A9" w:rsidRPr="004762ED" w:rsidRDefault="0015734C" w:rsidP="009250A9">
      <w:pPr>
        <w:pStyle w:val="Sinespaciado"/>
        <w:jc w:val="both"/>
        <w:rPr>
          <w:rFonts w:ascii="Arial" w:hAnsi="Arial" w:cs="Arial"/>
          <w:b/>
          <w:bCs/>
        </w:rPr>
      </w:pPr>
      <w:r>
        <w:rPr>
          <w:rFonts w:ascii="Arial" w:hAnsi="Arial" w:cs="Arial"/>
          <w:bCs/>
        </w:rPr>
        <w:t>Para tal efecto</w:t>
      </w:r>
      <w:r w:rsidR="004762ED" w:rsidRPr="009C596A">
        <w:rPr>
          <w:rFonts w:ascii="Arial" w:hAnsi="Arial" w:cs="Arial"/>
          <w:bCs/>
        </w:rPr>
        <w:t>, e</w:t>
      </w:r>
      <w:r w:rsidR="00FE636E" w:rsidRPr="009C596A">
        <w:rPr>
          <w:rFonts w:ascii="Arial" w:hAnsi="Arial" w:cs="Arial"/>
          <w:bCs/>
        </w:rPr>
        <w:t xml:space="preserve">l consejo de administración, junta directiva o el órgano competente según corresponda, </w:t>
      </w:r>
      <w:r w:rsidR="004762ED" w:rsidRPr="009C596A">
        <w:rPr>
          <w:rFonts w:ascii="Arial" w:hAnsi="Arial" w:cs="Arial"/>
          <w:bCs/>
        </w:rPr>
        <w:t xml:space="preserve">podrá determinar la constitución de </w:t>
      </w:r>
      <w:r w:rsidR="00FE636E" w:rsidRPr="009C596A">
        <w:rPr>
          <w:rFonts w:ascii="Arial" w:hAnsi="Arial" w:cs="Arial"/>
          <w:bCs/>
        </w:rPr>
        <w:t>un deterioro (provisión) general adicional, como un mecanismo para fortalecer la cobertura y anticiparse al potencial deterioro de la cartera de créditos. Este deterioro (provisión) general adicional, se podrá utilizar para compensar el gasto de deterioro individual que se genere por el rodamiento de la cartera a categorías de mayor riesgo, en los meses posteriores a su constitución.</w:t>
      </w:r>
    </w:p>
    <w:p w14:paraId="780D9BC5" w14:textId="77777777" w:rsidR="009250A9" w:rsidRPr="004762ED" w:rsidRDefault="009250A9" w:rsidP="009250A9">
      <w:pPr>
        <w:pStyle w:val="Sinespaciado"/>
        <w:jc w:val="both"/>
        <w:rPr>
          <w:rFonts w:ascii="Arial" w:hAnsi="Arial" w:cs="Arial"/>
          <w:bCs/>
        </w:rPr>
      </w:pPr>
    </w:p>
    <w:p w14:paraId="6FD65988" w14:textId="77777777" w:rsidR="00C46654" w:rsidRDefault="00C46654" w:rsidP="009250A9">
      <w:pPr>
        <w:pStyle w:val="Sinespaciado"/>
        <w:jc w:val="both"/>
        <w:rPr>
          <w:rFonts w:ascii="Arial" w:hAnsi="Arial" w:cs="Arial"/>
          <w:b/>
          <w:bCs/>
        </w:rPr>
      </w:pPr>
    </w:p>
    <w:p w14:paraId="1B44FBBE" w14:textId="77777777" w:rsidR="00C46654" w:rsidRDefault="00C46654" w:rsidP="009250A9">
      <w:pPr>
        <w:pStyle w:val="Sinespaciado"/>
        <w:jc w:val="both"/>
        <w:rPr>
          <w:rFonts w:ascii="Arial" w:hAnsi="Arial" w:cs="Arial"/>
          <w:b/>
          <w:bCs/>
        </w:rPr>
      </w:pPr>
    </w:p>
    <w:p w14:paraId="16419A18" w14:textId="77777777" w:rsidR="00C46654" w:rsidRDefault="00C46654" w:rsidP="009250A9">
      <w:pPr>
        <w:pStyle w:val="Sinespaciado"/>
        <w:jc w:val="both"/>
        <w:rPr>
          <w:rFonts w:ascii="Arial" w:hAnsi="Arial" w:cs="Arial"/>
          <w:b/>
          <w:bCs/>
        </w:rPr>
      </w:pPr>
    </w:p>
    <w:p w14:paraId="4968ADDA" w14:textId="77777777" w:rsidR="00C46654" w:rsidRDefault="00C46654" w:rsidP="009250A9">
      <w:pPr>
        <w:pStyle w:val="Sinespaciado"/>
        <w:jc w:val="both"/>
        <w:rPr>
          <w:rFonts w:ascii="Arial" w:hAnsi="Arial" w:cs="Arial"/>
          <w:b/>
          <w:bCs/>
        </w:rPr>
      </w:pPr>
    </w:p>
    <w:p w14:paraId="19D3F868" w14:textId="77777777" w:rsidR="00C46654" w:rsidRDefault="00C46654" w:rsidP="009250A9">
      <w:pPr>
        <w:pStyle w:val="Sinespaciado"/>
        <w:jc w:val="both"/>
        <w:rPr>
          <w:rFonts w:ascii="Arial" w:hAnsi="Arial" w:cs="Arial"/>
          <w:b/>
          <w:bCs/>
        </w:rPr>
      </w:pPr>
    </w:p>
    <w:p w14:paraId="5FDADD43" w14:textId="77777777" w:rsidR="00C46654" w:rsidRDefault="00C46654" w:rsidP="009250A9">
      <w:pPr>
        <w:pStyle w:val="Sinespaciado"/>
        <w:jc w:val="both"/>
        <w:rPr>
          <w:rFonts w:ascii="Arial" w:hAnsi="Arial" w:cs="Arial"/>
          <w:b/>
          <w:bCs/>
        </w:rPr>
      </w:pPr>
    </w:p>
    <w:p w14:paraId="5E03380B" w14:textId="77777777" w:rsidR="00C46654" w:rsidRDefault="00C46654" w:rsidP="009250A9">
      <w:pPr>
        <w:pStyle w:val="Sinespaciado"/>
        <w:jc w:val="both"/>
        <w:rPr>
          <w:rFonts w:ascii="Arial" w:hAnsi="Arial" w:cs="Arial"/>
          <w:b/>
          <w:bCs/>
        </w:rPr>
      </w:pPr>
    </w:p>
    <w:p w14:paraId="16BB7160" w14:textId="74C25351" w:rsidR="00755F2F" w:rsidRPr="004762ED" w:rsidRDefault="00E1732D" w:rsidP="009250A9">
      <w:pPr>
        <w:pStyle w:val="Sinespaciado"/>
        <w:jc w:val="both"/>
        <w:rPr>
          <w:rFonts w:ascii="Arial" w:hAnsi="Arial" w:cs="Arial"/>
          <w:b/>
          <w:bCs/>
          <w:strike/>
          <w:color w:val="FF0000"/>
        </w:rPr>
      </w:pPr>
      <w:r>
        <w:rPr>
          <w:rFonts w:ascii="Arial" w:hAnsi="Arial" w:cs="Arial"/>
          <w:b/>
          <w:bCs/>
        </w:rPr>
        <w:lastRenderedPageBreak/>
        <w:t>OCTAVA</w:t>
      </w:r>
      <w:r w:rsidR="004B6331">
        <w:rPr>
          <w:rFonts w:ascii="Arial" w:hAnsi="Arial" w:cs="Arial"/>
          <w:b/>
          <w:bCs/>
        </w:rPr>
        <w:t>:</w:t>
      </w:r>
      <w:r w:rsidR="004762ED" w:rsidRPr="004762ED">
        <w:rPr>
          <w:rFonts w:ascii="Arial" w:hAnsi="Arial" w:cs="Arial"/>
        </w:rPr>
        <w:t xml:space="preserve"> </w:t>
      </w:r>
      <w:r w:rsidR="00755F2F" w:rsidRPr="004762ED">
        <w:rPr>
          <w:rFonts w:ascii="Arial" w:hAnsi="Arial" w:cs="Arial"/>
        </w:rPr>
        <w:t>Conforme a lo previsto en el inciso primero del artículo 65 de la Ley 1437 de 2011, la presente Circular rige a partir de la fecha de su publicación en el Diario Oficial</w:t>
      </w:r>
      <w:r w:rsidR="0006361F" w:rsidRPr="004762ED">
        <w:rPr>
          <w:rFonts w:ascii="Arial" w:hAnsi="Arial" w:cs="Arial"/>
        </w:rPr>
        <w:t>.</w:t>
      </w:r>
    </w:p>
    <w:p w14:paraId="2FF926F3" w14:textId="42F344A9" w:rsidR="00755F2F" w:rsidRDefault="00755F2F" w:rsidP="009250A9">
      <w:pPr>
        <w:pStyle w:val="Sinespaciado"/>
        <w:jc w:val="both"/>
        <w:rPr>
          <w:rFonts w:ascii="Arial" w:hAnsi="Arial" w:cs="Arial"/>
          <w:bCs/>
          <w:iCs/>
        </w:rPr>
      </w:pPr>
    </w:p>
    <w:p w14:paraId="099DD58C" w14:textId="77777777" w:rsidR="006E22B2" w:rsidRPr="004762ED" w:rsidRDefault="006E22B2" w:rsidP="009250A9">
      <w:pPr>
        <w:pStyle w:val="Sinespaciado"/>
        <w:jc w:val="both"/>
        <w:rPr>
          <w:rFonts w:ascii="Arial" w:hAnsi="Arial" w:cs="Arial"/>
          <w:bCs/>
          <w:iCs/>
        </w:rPr>
      </w:pPr>
    </w:p>
    <w:p w14:paraId="0457FF2A" w14:textId="77777777" w:rsidR="00755F2F" w:rsidRPr="004762ED" w:rsidRDefault="00755F2F" w:rsidP="009250A9">
      <w:pPr>
        <w:pStyle w:val="Sinespaciado"/>
        <w:jc w:val="both"/>
        <w:rPr>
          <w:rFonts w:ascii="Arial" w:hAnsi="Arial" w:cs="Arial"/>
        </w:rPr>
      </w:pPr>
      <w:r w:rsidRPr="004762ED">
        <w:rPr>
          <w:rFonts w:ascii="Arial" w:hAnsi="Arial" w:cs="Arial"/>
        </w:rPr>
        <w:t>Cordialmente,</w:t>
      </w:r>
    </w:p>
    <w:p w14:paraId="36F2416C" w14:textId="008EB7CE" w:rsidR="00755F2F" w:rsidRDefault="00755F2F" w:rsidP="009250A9">
      <w:pPr>
        <w:pStyle w:val="Sinespaciado"/>
        <w:jc w:val="both"/>
        <w:rPr>
          <w:rFonts w:ascii="Arial" w:hAnsi="Arial" w:cs="Arial"/>
        </w:rPr>
      </w:pPr>
    </w:p>
    <w:p w14:paraId="7E2E1480" w14:textId="77777777" w:rsidR="00307EB9" w:rsidRPr="004762ED" w:rsidRDefault="00307EB9" w:rsidP="009250A9">
      <w:pPr>
        <w:pStyle w:val="Sinespaciado"/>
        <w:jc w:val="both"/>
        <w:rPr>
          <w:rFonts w:ascii="Arial" w:hAnsi="Arial" w:cs="Arial"/>
        </w:rPr>
      </w:pPr>
    </w:p>
    <w:p w14:paraId="4E5BC2E3" w14:textId="57D40764" w:rsidR="00755F2F" w:rsidRDefault="00755F2F" w:rsidP="009250A9">
      <w:pPr>
        <w:pStyle w:val="Sinespaciado"/>
        <w:jc w:val="both"/>
        <w:rPr>
          <w:rFonts w:ascii="Arial" w:hAnsi="Arial" w:cs="Arial"/>
        </w:rPr>
      </w:pPr>
    </w:p>
    <w:p w14:paraId="7C2C5C4B" w14:textId="77777777" w:rsidR="006E22B2" w:rsidRPr="004762ED" w:rsidRDefault="006E22B2" w:rsidP="009250A9">
      <w:pPr>
        <w:pStyle w:val="Sinespaciado"/>
        <w:jc w:val="both"/>
        <w:rPr>
          <w:rFonts w:ascii="Arial" w:hAnsi="Arial" w:cs="Arial"/>
        </w:rPr>
      </w:pPr>
    </w:p>
    <w:p w14:paraId="315052D6" w14:textId="77777777" w:rsidR="00755F2F" w:rsidRPr="004762ED" w:rsidRDefault="00755F2F" w:rsidP="009250A9">
      <w:pPr>
        <w:pStyle w:val="Sinespaciado"/>
        <w:jc w:val="both"/>
        <w:rPr>
          <w:rFonts w:ascii="Arial" w:hAnsi="Arial" w:cs="Arial"/>
          <w:b/>
        </w:rPr>
      </w:pPr>
      <w:r w:rsidRPr="004762ED">
        <w:rPr>
          <w:rFonts w:ascii="Arial" w:hAnsi="Arial" w:cs="Arial"/>
          <w:b/>
        </w:rPr>
        <w:t>MARÍA JOSE NAVARRO MUÑOZ</w:t>
      </w:r>
    </w:p>
    <w:p w14:paraId="7186A372" w14:textId="3833997E" w:rsidR="00755F2F" w:rsidRPr="004762ED" w:rsidRDefault="00755F2F" w:rsidP="009250A9">
      <w:pPr>
        <w:pStyle w:val="Sinespaciado"/>
        <w:jc w:val="both"/>
        <w:rPr>
          <w:rFonts w:ascii="Arial" w:hAnsi="Arial" w:cs="Arial"/>
        </w:rPr>
      </w:pPr>
      <w:r w:rsidRPr="004762ED">
        <w:rPr>
          <w:rFonts w:ascii="Arial" w:hAnsi="Arial" w:cs="Arial"/>
        </w:rPr>
        <w:t>Superintendenta de la Economía Solidaria</w:t>
      </w:r>
    </w:p>
    <w:p w14:paraId="55394619" w14:textId="77777777" w:rsidR="00755F2F" w:rsidRDefault="00755F2F" w:rsidP="00755F2F">
      <w:pPr>
        <w:suppressAutoHyphens w:val="0"/>
        <w:autoSpaceDE w:val="0"/>
        <w:autoSpaceDN w:val="0"/>
        <w:adjustRightInd w:val="0"/>
        <w:spacing w:line="276" w:lineRule="auto"/>
        <w:ind w:right="192"/>
        <w:rPr>
          <w:i w:val="0"/>
          <w:sz w:val="22"/>
          <w:szCs w:val="22"/>
          <w:lang w:eastAsia="es-ES"/>
        </w:rPr>
      </w:pPr>
    </w:p>
    <w:p w14:paraId="4654D406" w14:textId="4DC9717C" w:rsidR="00946D3E" w:rsidRDefault="00946D3E"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Anexo</w:t>
      </w:r>
      <w:r w:rsidR="0006361F">
        <w:rPr>
          <w:rFonts w:ascii="Arial" w:hAnsi="Arial" w:cs="Arial"/>
          <w:sz w:val="14"/>
          <w:szCs w:val="16"/>
          <w:lang w:val="es-ES_tradnl" w:eastAsia="es-CO"/>
        </w:rPr>
        <w:t>s:</w:t>
      </w:r>
      <w:r>
        <w:rPr>
          <w:rFonts w:ascii="Arial" w:hAnsi="Arial" w:cs="Arial"/>
          <w:sz w:val="14"/>
          <w:szCs w:val="16"/>
          <w:lang w:val="es-ES_tradnl" w:eastAsia="es-CO"/>
        </w:rPr>
        <w:t xml:space="preserve"> </w:t>
      </w:r>
      <w:r w:rsidR="0006361F">
        <w:rPr>
          <w:rFonts w:ascii="Arial" w:hAnsi="Arial" w:cs="Arial"/>
          <w:sz w:val="14"/>
          <w:szCs w:val="16"/>
          <w:lang w:val="es-ES_tradnl" w:eastAsia="es-CO"/>
        </w:rPr>
        <w:tab/>
      </w:r>
      <w:r>
        <w:rPr>
          <w:rFonts w:ascii="Arial" w:hAnsi="Arial" w:cs="Arial"/>
          <w:sz w:val="14"/>
          <w:szCs w:val="16"/>
          <w:lang w:val="es-ES_tradnl" w:eastAsia="es-CO"/>
        </w:rPr>
        <w:t xml:space="preserve">Hojas modificadas SARC </w:t>
      </w:r>
      <w:r w:rsidR="0006361F">
        <w:rPr>
          <w:rFonts w:ascii="Arial" w:hAnsi="Arial" w:cs="Arial"/>
          <w:sz w:val="14"/>
          <w:szCs w:val="16"/>
          <w:lang w:val="es-ES_tradnl" w:eastAsia="es-CO"/>
        </w:rPr>
        <w:t>A</w:t>
      </w:r>
      <w:r>
        <w:rPr>
          <w:rFonts w:ascii="Arial" w:hAnsi="Arial" w:cs="Arial"/>
          <w:sz w:val="14"/>
          <w:szCs w:val="16"/>
          <w:lang w:val="es-ES_tradnl" w:eastAsia="es-CO"/>
        </w:rPr>
        <w:t>nexo 1</w:t>
      </w:r>
    </w:p>
    <w:p w14:paraId="01094A34" w14:textId="3C591B85" w:rsidR="00946D3E" w:rsidRDefault="00946D3E" w:rsidP="0006361F">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Hojas modificadas SARC</w:t>
      </w:r>
      <w:r w:rsidRPr="00946D3E">
        <w:rPr>
          <w:rFonts w:ascii="Arial" w:hAnsi="Arial" w:cs="Arial"/>
          <w:sz w:val="14"/>
          <w:szCs w:val="16"/>
          <w:lang w:val="es-ES_tradnl" w:eastAsia="es-CO"/>
        </w:rPr>
        <w:t xml:space="preserve"> </w:t>
      </w:r>
      <w:r w:rsidR="0006361F">
        <w:rPr>
          <w:rFonts w:ascii="Arial" w:hAnsi="Arial" w:cs="Arial"/>
          <w:sz w:val="14"/>
          <w:szCs w:val="16"/>
          <w:lang w:val="es-ES_tradnl" w:eastAsia="es-CO"/>
        </w:rPr>
        <w:t>A</w:t>
      </w:r>
      <w:r>
        <w:rPr>
          <w:rFonts w:ascii="Arial" w:hAnsi="Arial" w:cs="Arial"/>
          <w:sz w:val="14"/>
          <w:szCs w:val="16"/>
          <w:lang w:val="es-ES_tradnl" w:eastAsia="es-CO"/>
        </w:rPr>
        <w:t>nexo 2</w:t>
      </w:r>
    </w:p>
    <w:p w14:paraId="709423CD" w14:textId="77777777" w:rsidR="00946D3E" w:rsidRDefault="00946D3E" w:rsidP="00755F2F">
      <w:pPr>
        <w:pStyle w:val="Sinespaciado"/>
        <w:spacing w:line="276" w:lineRule="auto"/>
        <w:ind w:right="192"/>
        <w:jc w:val="both"/>
        <w:rPr>
          <w:rFonts w:ascii="Arial" w:hAnsi="Arial" w:cs="Arial"/>
          <w:sz w:val="14"/>
          <w:szCs w:val="16"/>
          <w:lang w:val="es-ES_tradnl" w:eastAsia="es-CO"/>
        </w:rPr>
      </w:pPr>
    </w:p>
    <w:p w14:paraId="53565E71" w14:textId="58CA6158" w:rsidR="00755F2F" w:rsidRDefault="00755F2F"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Proyectó:</w:t>
      </w:r>
      <w:r>
        <w:rPr>
          <w:rFonts w:ascii="Arial" w:hAnsi="Arial" w:cs="Arial"/>
          <w:sz w:val="14"/>
          <w:szCs w:val="16"/>
          <w:lang w:val="es-ES_tradnl" w:eastAsia="es-CO"/>
        </w:rPr>
        <w:tab/>
        <w:t>Diana Marcela Forero Forero</w:t>
      </w:r>
    </w:p>
    <w:p w14:paraId="1EDD1545" w14:textId="01505205" w:rsidR="00BB786F" w:rsidRDefault="00307EB9"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r>
      <w:r w:rsidR="00BB786F">
        <w:rPr>
          <w:rFonts w:ascii="Arial" w:hAnsi="Arial" w:cs="Arial"/>
          <w:sz w:val="14"/>
          <w:szCs w:val="16"/>
          <w:lang w:val="es-ES_tradnl" w:eastAsia="es-CO"/>
        </w:rPr>
        <w:t>Gladys Veloza Cortés</w:t>
      </w:r>
    </w:p>
    <w:p w14:paraId="67055E55" w14:textId="1A6FFA01" w:rsidR="00307EB9" w:rsidRDefault="00BB786F"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r>
      <w:r w:rsidR="00307EB9">
        <w:rPr>
          <w:rFonts w:ascii="Arial" w:hAnsi="Arial" w:cs="Arial"/>
          <w:sz w:val="14"/>
          <w:szCs w:val="16"/>
          <w:lang w:val="es-ES_tradnl" w:eastAsia="es-CO"/>
        </w:rPr>
        <w:t>Caterine Benítez Cárdenas</w:t>
      </w:r>
    </w:p>
    <w:p w14:paraId="19D32758" w14:textId="42069189" w:rsidR="00307EB9" w:rsidRDefault="00307EB9"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t>Andr</w:t>
      </w:r>
      <w:bookmarkStart w:id="1" w:name="_GoBack"/>
      <w:bookmarkEnd w:id="1"/>
      <w:r>
        <w:rPr>
          <w:rFonts w:ascii="Arial" w:hAnsi="Arial" w:cs="Arial"/>
          <w:sz w:val="14"/>
          <w:szCs w:val="16"/>
          <w:lang w:val="es-ES_tradnl" w:eastAsia="es-CO"/>
        </w:rPr>
        <w:t>ea Bonilla Cuervo</w:t>
      </w:r>
    </w:p>
    <w:p w14:paraId="6013286D" w14:textId="592E56CE" w:rsidR="00091B37" w:rsidRDefault="00091B37" w:rsidP="00755F2F">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ab/>
        <w:t>David Jaramillo</w:t>
      </w:r>
      <w:r w:rsidR="009E298D">
        <w:rPr>
          <w:rFonts w:ascii="Arial" w:hAnsi="Arial" w:cs="Arial"/>
          <w:sz w:val="14"/>
          <w:szCs w:val="16"/>
          <w:lang w:val="es-ES_tradnl" w:eastAsia="es-CO"/>
        </w:rPr>
        <w:t xml:space="preserve"> Tocanchón</w:t>
      </w:r>
    </w:p>
    <w:p w14:paraId="5B238C37" w14:textId="01C27CF4" w:rsidR="00755F2F" w:rsidRDefault="009250A9" w:rsidP="009250A9">
      <w:pPr>
        <w:pStyle w:val="Sinespaciado"/>
        <w:spacing w:line="276" w:lineRule="auto"/>
        <w:ind w:left="708" w:right="192"/>
        <w:jc w:val="both"/>
        <w:rPr>
          <w:rFonts w:ascii="Arial" w:hAnsi="Arial" w:cs="Arial"/>
          <w:sz w:val="14"/>
          <w:szCs w:val="16"/>
          <w:lang w:val="es-ES_tradnl" w:eastAsia="es-CO"/>
        </w:rPr>
      </w:pPr>
      <w:r>
        <w:rPr>
          <w:rFonts w:ascii="Arial" w:hAnsi="Arial" w:cs="Arial"/>
          <w:sz w:val="14"/>
          <w:szCs w:val="16"/>
          <w:lang w:val="es-ES_tradnl" w:eastAsia="es-CO"/>
        </w:rPr>
        <w:t>Marelvi Bernal Nempeque</w:t>
      </w:r>
    </w:p>
    <w:p w14:paraId="461ACE69" w14:textId="7DFD4954" w:rsidR="009250A9" w:rsidRDefault="00755F2F" w:rsidP="009250A9">
      <w:pPr>
        <w:pStyle w:val="Sinespaciado"/>
        <w:spacing w:line="276" w:lineRule="auto"/>
        <w:ind w:right="192"/>
        <w:jc w:val="both"/>
        <w:rPr>
          <w:rFonts w:ascii="Arial" w:hAnsi="Arial" w:cs="Arial"/>
          <w:sz w:val="14"/>
          <w:szCs w:val="16"/>
          <w:lang w:val="es-ES_tradnl" w:eastAsia="es-CO"/>
        </w:rPr>
      </w:pPr>
      <w:r>
        <w:rPr>
          <w:rFonts w:ascii="Arial" w:hAnsi="Arial" w:cs="Arial"/>
          <w:sz w:val="14"/>
          <w:szCs w:val="16"/>
          <w:lang w:val="es-ES_tradnl" w:eastAsia="es-CO"/>
        </w:rPr>
        <w:t xml:space="preserve">Revisó:   </w:t>
      </w:r>
      <w:r>
        <w:rPr>
          <w:rFonts w:ascii="Arial" w:hAnsi="Arial" w:cs="Arial"/>
          <w:sz w:val="14"/>
          <w:szCs w:val="16"/>
          <w:lang w:val="es-ES_tradnl" w:eastAsia="es-CO"/>
        </w:rPr>
        <w:tab/>
      </w:r>
      <w:r w:rsidR="009250A9">
        <w:rPr>
          <w:rFonts w:ascii="Arial" w:hAnsi="Arial" w:cs="Arial"/>
          <w:sz w:val="14"/>
          <w:szCs w:val="16"/>
          <w:lang w:val="es-ES_tradnl" w:eastAsia="es-CO"/>
        </w:rPr>
        <w:t xml:space="preserve">Julieth Cárdenas Gaitán </w:t>
      </w:r>
    </w:p>
    <w:p w14:paraId="34063C97" w14:textId="0D6D6F22" w:rsidR="00755F2F" w:rsidRDefault="00755F2F" w:rsidP="009250A9">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Martha Nury Beltrán Misas</w:t>
      </w:r>
    </w:p>
    <w:p w14:paraId="6E4F2E6A" w14:textId="77777777" w:rsidR="00755F2F" w:rsidRDefault="00755F2F" w:rsidP="00755F2F">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Bernardo Ortiz Posada</w:t>
      </w:r>
    </w:p>
    <w:p w14:paraId="6EB4963C" w14:textId="77777777" w:rsidR="00755F2F" w:rsidRDefault="00755F2F" w:rsidP="00755F2F">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Will Robinson Vargas</w:t>
      </w:r>
    </w:p>
    <w:p w14:paraId="20F47435" w14:textId="77777777" w:rsidR="00755F2F" w:rsidRDefault="00755F2F" w:rsidP="00755F2F">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 xml:space="preserve">Diana Paola Salcedo Novoa </w:t>
      </w:r>
    </w:p>
    <w:p w14:paraId="5D1AEB32" w14:textId="77777777" w:rsidR="00755F2F" w:rsidRDefault="00755F2F" w:rsidP="00755F2F">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 xml:space="preserve">Beatriz Leonela Lizcano Castro </w:t>
      </w:r>
    </w:p>
    <w:p w14:paraId="05C2EE1C" w14:textId="658B1501" w:rsidR="001677C9" w:rsidRPr="005429B3" w:rsidRDefault="00755F2F" w:rsidP="005429B3">
      <w:pPr>
        <w:pStyle w:val="Sinespaciado"/>
        <w:spacing w:line="276" w:lineRule="auto"/>
        <w:ind w:right="192" w:firstLine="708"/>
        <w:jc w:val="both"/>
        <w:rPr>
          <w:rFonts w:ascii="Arial" w:hAnsi="Arial" w:cs="Arial"/>
          <w:sz w:val="14"/>
          <w:szCs w:val="16"/>
          <w:lang w:val="es-ES_tradnl" w:eastAsia="es-CO"/>
        </w:rPr>
      </w:pPr>
      <w:r>
        <w:rPr>
          <w:rFonts w:ascii="Arial" w:hAnsi="Arial" w:cs="Arial"/>
          <w:sz w:val="14"/>
          <w:szCs w:val="16"/>
          <w:lang w:val="es-ES_tradnl" w:eastAsia="es-CO"/>
        </w:rPr>
        <w:t>Jhaniela Jiménez Gutiérrez</w:t>
      </w:r>
    </w:p>
    <w:sectPr w:rsidR="001677C9" w:rsidRPr="005429B3"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15C9A" w14:textId="77777777" w:rsidR="006D735C" w:rsidRDefault="006D735C">
      <w:r>
        <w:separator/>
      </w:r>
    </w:p>
  </w:endnote>
  <w:endnote w:type="continuationSeparator" w:id="0">
    <w:p w14:paraId="09D28D41" w14:textId="77777777" w:rsidR="006D735C" w:rsidRDefault="006D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0624" w14:textId="0CA7B6DA" w:rsidR="00636512" w:rsidRDefault="00636512">
    <w:pPr>
      <w:pStyle w:val="Piedepgina"/>
    </w:pPr>
    <w:r>
      <w:rPr>
        <w:noProof/>
        <w:lang w:eastAsia="es-CO"/>
      </w:rPr>
      <w:drawing>
        <wp:anchor distT="0" distB="0" distL="114300" distR="114300" simplePos="0" relativeHeight="251696128" behindDoc="0" locked="0" layoutInCell="1" allowOverlap="1" wp14:anchorId="04E170F9" wp14:editId="3746E90C">
          <wp:simplePos x="0" y="0"/>
          <wp:positionH relativeFrom="column">
            <wp:posOffset>-1051560</wp:posOffset>
          </wp:positionH>
          <wp:positionV relativeFrom="paragraph">
            <wp:posOffset>137795</wp:posOffset>
          </wp:positionV>
          <wp:extent cx="7729479" cy="1424202"/>
          <wp:effectExtent l="0" t="0" r="508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3B0102A4" w14:textId="4D646AFB" w:rsidR="00636512" w:rsidRDefault="00636512">
    <w:pPr>
      <w:pStyle w:val="Piedepgina"/>
    </w:pPr>
  </w:p>
  <w:p w14:paraId="15113217" w14:textId="5E202C90" w:rsidR="00636512" w:rsidRDefault="00636512">
    <w:pPr>
      <w:pStyle w:val="Piedepgina"/>
    </w:pPr>
  </w:p>
  <w:p w14:paraId="624B3505" w14:textId="77777777" w:rsidR="00636512" w:rsidRDefault="00636512">
    <w:pPr>
      <w:pStyle w:val="Piedepgina"/>
    </w:pPr>
  </w:p>
  <w:p w14:paraId="4CC4681F" w14:textId="77777777" w:rsidR="00636512" w:rsidRDefault="00636512">
    <w:pPr>
      <w:pStyle w:val="Piedepgina"/>
    </w:pPr>
  </w:p>
  <w:p w14:paraId="25DB4D52" w14:textId="55893AF5" w:rsidR="00636512" w:rsidRDefault="00636512">
    <w:pPr>
      <w:pStyle w:val="Piedepgina"/>
    </w:pPr>
  </w:p>
  <w:p w14:paraId="69321762" w14:textId="1985F9C7" w:rsidR="00636512" w:rsidRDefault="00636512">
    <w:pPr>
      <w:pStyle w:val="Piedepgina"/>
    </w:pPr>
  </w:p>
  <w:p w14:paraId="41B7E737" w14:textId="77777777" w:rsidR="00636512" w:rsidRDefault="00636512">
    <w:pPr>
      <w:pStyle w:val="Piedepgina"/>
    </w:pPr>
  </w:p>
  <w:p w14:paraId="472DEFF0" w14:textId="77777777" w:rsidR="00636512" w:rsidRDefault="0063651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89F0" w14:textId="548E0797" w:rsidR="00636512" w:rsidRDefault="00636512" w:rsidP="00E20347">
    <w:pPr>
      <w:pStyle w:val="Piedepgina"/>
      <w:tabs>
        <w:tab w:val="center" w:pos="993"/>
      </w:tabs>
      <w:spacing w:line="0" w:lineRule="atLeast"/>
      <w:ind w:left="-1701"/>
      <w:rPr>
        <w:b/>
        <w:bCs/>
        <w:i w:val="0"/>
        <w:iCs/>
        <w:w w:val="200"/>
        <w:sz w:val="14"/>
        <w:szCs w:val="14"/>
      </w:rPr>
    </w:pPr>
    <w:r>
      <w:rPr>
        <w:noProof/>
        <w:lang w:eastAsia="es-CO"/>
      </w:rPr>
      <w:drawing>
        <wp:anchor distT="0" distB="0" distL="114300" distR="114300" simplePos="0" relativeHeight="251694080" behindDoc="0" locked="0" layoutInCell="1" allowOverlap="1" wp14:anchorId="230B5700" wp14:editId="4562049E">
          <wp:simplePos x="0" y="0"/>
          <wp:positionH relativeFrom="column">
            <wp:posOffset>-1051560</wp:posOffset>
          </wp:positionH>
          <wp:positionV relativeFrom="paragraph">
            <wp:posOffset>84455</wp:posOffset>
          </wp:positionV>
          <wp:extent cx="7729479" cy="1424202"/>
          <wp:effectExtent l="0" t="0" r="508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9479" cy="1424202"/>
                  </a:xfrm>
                  <a:prstGeom prst="rect">
                    <a:avLst/>
                  </a:prstGeom>
                </pic:spPr>
              </pic:pic>
            </a:graphicData>
          </a:graphic>
          <wp14:sizeRelH relativeFrom="margin">
            <wp14:pctWidth>0</wp14:pctWidth>
          </wp14:sizeRelH>
          <wp14:sizeRelV relativeFrom="margin">
            <wp14:pctHeight>0</wp14:pctHeight>
          </wp14:sizeRelV>
        </wp:anchor>
      </w:drawing>
    </w:r>
  </w:p>
  <w:p w14:paraId="075A35D3" w14:textId="5698286C" w:rsidR="00636512" w:rsidRDefault="00636512" w:rsidP="00E20347">
    <w:pPr>
      <w:pStyle w:val="Piedepgina"/>
      <w:tabs>
        <w:tab w:val="center" w:pos="993"/>
      </w:tabs>
      <w:spacing w:line="0" w:lineRule="atLeast"/>
      <w:ind w:left="-1701"/>
      <w:rPr>
        <w:b/>
        <w:bCs/>
        <w:i w:val="0"/>
        <w:iCs/>
        <w:w w:val="200"/>
        <w:sz w:val="14"/>
        <w:szCs w:val="14"/>
      </w:rPr>
    </w:pPr>
  </w:p>
  <w:p w14:paraId="79C79996" w14:textId="6FC32152" w:rsidR="00636512" w:rsidRDefault="00636512" w:rsidP="00E20347">
    <w:pPr>
      <w:pStyle w:val="Piedepgina"/>
      <w:tabs>
        <w:tab w:val="center" w:pos="993"/>
      </w:tabs>
      <w:spacing w:line="0" w:lineRule="atLeast"/>
      <w:ind w:left="-1701"/>
      <w:rPr>
        <w:b/>
        <w:bCs/>
        <w:i w:val="0"/>
        <w:iCs/>
        <w:w w:val="200"/>
        <w:sz w:val="14"/>
        <w:szCs w:val="14"/>
      </w:rPr>
    </w:pPr>
  </w:p>
  <w:p w14:paraId="02E0BF8A" w14:textId="3D9B44F0" w:rsidR="00636512" w:rsidRDefault="00636512" w:rsidP="00E20347">
    <w:pPr>
      <w:pStyle w:val="Piedepgina"/>
      <w:tabs>
        <w:tab w:val="center" w:pos="993"/>
      </w:tabs>
      <w:spacing w:line="0" w:lineRule="atLeast"/>
      <w:ind w:left="-1701"/>
      <w:rPr>
        <w:b/>
        <w:bCs/>
        <w:i w:val="0"/>
        <w:iCs/>
        <w:w w:val="200"/>
        <w:sz w:val="14"/>
        <w:szCs w:val="14"/>
      </w:rPr>
    </w:pPr>
  </w:p>
  <w:p w14:paraId="5A444507" w14:textId="07C69BD8" w:rsidR="00636512" w:rsidRDefault="00636512" w:rsidP="00E20347">
    <w:pPr>
      <w:pStyle w:val="Piedepgina"/>
      <w:tabs>
        <w:tab w:val="center" w:pos="993"/>
      </w:tabs>
      <w:spacing w:line="0" w:lineRule="atLeast"/>
      <w:ind w:left="-1701"/>
      <w:rPr>
        <w:b/>
        <w:bCs/>
        <w:i w:val="0"/>
        <w:iCs/>
        <w:w w:val="200"/>
        <w:sz w:val="14"/>
        <w:szCs w:val="14"/>
      </w:rPr>
    </w:pPr>
  </w:p>
  <w:p w14:paraId="452CCA5B" w14:textId="625BCC9D" w:rsidR="00636512" w:rsidRDefault="00636512" w:rsidP="00E20347">
    <w:pPr>
      <w:pStyle w:val="Piedepgina"/>
      <w:tabs>
        <w:tab w:val="center" w:pos="993"/>
      </w:tabs>
      <w:spacing w:line="0" w:lineRule="atLeast"/>
      <w:ind w:left="-1701"/>
      <w:rPr>
        <w:b/>
        <w:bCs/>
        <w:i w:val="0"/>
        <w:iCs/>
        <w:w w:val="200"/>
        <w:sz w:val="14"/>
        <w:szCs w:val="14"/>
      </w:rPr>
    </w:pPr>
  </w:p>
  <w:p w14:paraId="76C58EC7" w14:textId="127B40BA" w:rsidR="00636512" w:rsidRDefault="00636512" w:rsidP="00E20347">
    <w:pPr>
      <w:pStyle w:val="Piedepgina"/>
      <w:tabs>
        <w:tab w:val="center" w:pos="993"/>
      </w:tabs>
      <w:spacing w:line="0" w:lineRule="atLeast"/>
      <w:ind w:left="-1701"/>
      <w:rPr>
        <w:b/>
        <w:bCs/>
        <w:i w:val="0"/>
        <w:iCs/>
        <w:w w:val="200"/>
        <w:sz w:val="14"/>
        <w:szCs w:val="14"/>
      </w:rPr>
    </w:pPr>
  </w:p>
  <w:p w14:paraId="62F1D4B1" w14:textId="33BAB194" w:rsidR="00636512" w:rsidRDefault="00636512" w:rsidP="00E20347">
    <w:pPr>
      <w:pStyle w:val="Piedepgina"/>
      <w:tabs>
        <w:tab w:val="center" w:pos="993"/>
      </w:tabs>
      <w:spacing w:line="0" w:lineRule="atLeast"/>
      <w:ind w:left="-1701"/>
      <w:rPr>
        <w:b/>
        <w:bCs/>
        <w:i w:val="0"/>
        <w:iCs/>
        <w:w w:val="200"/>
        <w:sz w:val="14"/>
        <w:szCs w:val="14"/>
      </w:rPr>
    </w:pPr>
  </w:p>
  <w:p w14:paraId="373CDCA8" w14:textId="34E9D74C" w:rsidR="00636512" w:rsidRDefault="00636512" w:rsidP="00E20347">
    <w:pPr>
      <w:pStyle w:val="Piedepgina"/>
      <w:tabs>
        <w:tab w:val="center" w:pos="993"/>
      </w:tabs>
      <w:spacing w:line="0" w:lineRule="atLeast"/>
      <w:ind w:left="-1701"/>
      <w:rPr>
        <w:b/>
        <w:bCs/>
        <w:i w:val="0"/>
        <w:iCs/>
        <w:w w:val="200"/>
        <w:sz w:val="14"/>
        <w:szCs w:val="14"/>
      </w:rPr>
    </w:pPr>
  </w:p>
  <w:p w14:paraId="09F55647" w14:textId="23FBA934" w:rsidR="00636512" w:rsidRDefault="00636512" w:rsidP="00E20347">
    <w:pPr>
      <w:pStyle w:val="Piedepgina"/>
      <w:tabs>
        <w:tab w:val="center" w:pos="993"/>
      </w:tabs>
      <w:spacing w:line="0" w:lineRule="atLeast"/>
      <w:ind w:left="-1701"/>
      <w:rPr>
        <w:b/>
        <w:bCs/>
        <w:i w:val="0"/>
        <w:iCs/>
        <w:w w:val="200"/>
        <w:sz w:val="14"/>
        <w:szCs w:val="14"/>
      </w:rPr>
    </w:pPr>
  </w:p>
  <w:p w14:paraId="0896E757" w14:textId="286C9E7B" w:rsidR="00636512" w:rsidRDefault="00636512" w:rsidP="00E20347">
    <w:pPr>
      <w:pStyle w:val="Piedepgina"/>
      <w:tabs>
        <w:tab w:val="center" w:pos="993"/>
      </w:tabs>
      <w:spacing w:line="0" w:lineRule="atLeast"/>
      <w:ind w:left="-1701"/>
      <w:rPr>
        <w:b/>
        <w:bCs/>
        <w:i w:val="0"/>
        <w:iCs/>
        <w:w w:val="200"/>
        <w:sz w:val="14"/>
        <w:szCs w:val="14"/>
      </w:rPr>
    </w:pPr>
  </w:p>
  <w:p w14:paraId="47DF63E2" w14:textId="6693F0E9" w:rsidR="00636512" w:rsidRDefault="00636512" w:rsidP="00E20347">
    <w:pPr>
      <w:pStyle w:val="Piedepgina"/>
      <w:tabs>
        <w:tab w:val="center" w:pos="993"/>
      </w:tabs>
      <w:spacing w:line="0" w:lineRule="atLeast"/>
      <w:ind w:left="-1701"/>
      <w:rPr>
        <w:b/>
        <w:bCs/>
        <w:i w:val="0"/>
        <w:iCs/>
        <w:w w:val="200"/>
        <w:sz w:val="14"/>
        <w:szCs w:val="14"/>
      </w:rPr>
    </w:pPr>
  </w:p>
  <w:p w14:paraId="5AB93E15" w14:textId="77777777" w:rsidR="00636512" w:rsidRDefault="00636512" w:rsidP="00E20347">
    <w:pPr>
      <w:pStyle w:val="Piedepgina"/>
      <w:tabs>
        <w:tab w:val="center" w:pos="993"/>
      </w:tabs>
      <w:spacing w:line="0" w:lineRule="atLeast"/>
      <w:ind w:left="-1701"/>
      <w:rPr>
        <w:b/>
        <w:bCs/>
        <w:i w:val="0"/>
        <w:iCs/>
        <w:w w:val="200"/>
        <w:sz w:val="14"/>
        <w:szCs w:val="14"/>
      </w:rPr>
    </w:pPr>
  </w:p>
  <w:p w14:paraId="14052FF8" w14:textId="77777777" w:rsidR="00636512" w:rsidRDefault="00636512" w:rsidP="00E20347">
    <w:pPr>
      <w:pStyle w:val="Piedepgina"/>
      <w:tabs>
        <w:tab w:val="center" w:pos="993"/>
      </w:tabs>
      <w:spacing w:line="0" w:lineRule="atLeast"/>
      <w:ind w:left="-1701"/>
      <w:rPr>
        <w:b/>
        <w:bCs/>
        <w:i w:val="0"/>
        <w:iCs/>
        <w:w w:val="200"/>
        <w:sz w:val="14"/>
        <w:szCs w:val="14"/>
      </w:rPr>
    </w:pPr>
  </w:p>
  <w:p w14:paraId="465DEA8A" w14:textId="0F8FA04C" w:rsidR="00636512" w:rsidRPr="00E20347" w:rsidRDefault="00636512"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36512" w:rsidRPr="004D7D98" w:rsidRDefault="00636512"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36512" w:rsidRPr="004D7D98" w:rsidRDefault="00636512"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36512" w:rsidRDefault="00636512"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Cuadro de texto 25" o:spid="_x0000_s1026"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" filled="f" stroked="f">
              <v:textbox>
                <w:txbxContent>
                  <w:p w14:paraId="4549FBB5" w14:textId="77777777" w:rsidR="00636512" w:rsidRPr="004D7D98" w:rsidRDefault="00636512"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36512" w:rsidRPr="004D7D98" w:rsidRDefault="00636512"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36512" w:rsidRDefault="00636512"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0BA3" w14:textId="77777777" w:rsidR="006D735C" w:rsidRDefault="006D735C">
      <w:r>
        <w:separator/>
      </w:r>
    </w:p>
  </w:footnote>
  <w:footnote w:type="continuationSeparator" w:id="0">
    <w:p w14:paraId="747DCCDB" w14:textId="77777777" w:rsidR="006D735C" w:rsidRDefault="006D7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76E2" w14:textId="08CF7C8C" w:rsidR="00636512" w:rsidRDefault="00636512" w:rsidP="00C64ECE">
    <w:pPr>
      <w:pStyle w:val="Encabezado"/>
      <w:ind w:left="-709" w:right="-942"/>
    </w:pPr>
    <w:r>
      <w:rPr>
        <w:noProof/>
        <w:lang w:eastAsia="es-CO"/>
      </w:rPr>
      <w:drawing>
        <wp:anchor distT="0" distB="0" distL="114300" distR="114300" simplePos="0" relativeHeight="251692032" behindDoc="0" locked="0" layoutInCell="1" allowOverlap="1" wp14:anchorId="2F5DB28F" wp14:editId="7395C95B">
          <wp:simplePos x="0" y="0"/>
          <wp:positionH relativeFrom="column">
            <wp:posOffset>-1080135</wp:posOffset>
          </wp:positionH>
          <wp:positionV relativeFrom="paragraph">
            <wp:posOffset>0</wp:posOffset>
          </wp:positionV>
          <wp:extent cx="7724443" cy="1771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551" cy="1774656"/>
                  </a:xfrm>
                  <a:prstGeom prst="rect">
                    <a:avLst/>
                  </a:prstGeom>
                </pic:spPr>
              </pic:pic>
            </a:graphicData>
          </a:graphic>
          <wp14:sizeRelH relativeFrom="margin">
            <wp14:pctWidth>0</wp14:pctWidth>
          </wp14:sizeRelH>
          <wp14:sizeRelV relativeFrom="margin">
            <wp14:pctHeight>0</wp14:pctHeight>
          </wp14:sizeRelV>
        </wp:anchor>
      </w:drawing>
    </w:r>
  </w:p>
  <w:p w14:paraId="477F0E57" w14:textId="6379145D" w:rsidR="00636512" w:rsidRDefault="00636512" w:rsidP="00C64ECE">
    <w:pPr>
      <w:pStyle w:val="Encabezado"/>
      <w:ind w:left="-709" w:right="-942"/>
    </w:pPr>
  </w:p>
  <w:p w14:paraId="70560834" w14:textId="77777777" w:rsidR="00636512" w:rsidRDefault="00636512" w:rsidP="00C64ECE">
    <w:pPr>
      <w:pStyle w:val="Encabezado"/>
      <w:ind w:left="-709" w:right="-942"/>
    </w:pPr>
  </w:p>
  <w:p w14:paraId="2F85A29C" w14:textId="6F686D00" w:rsidR="00636512" w:rsidRDefault="00636512" w:rsidP="00C64ECE">
    <w:pPr>
      <w:pStyle w:val="Encabezado"/>
      <w:ind w:left="-709" w:right="-942"/>
    </w:pPr>
  </w:p>
  <w:p w14:paraId="34BC0DEB" w14:textId="4C854CC5" w:rsidR="00636512" w:rsidRDefault="00636512" w:rsidP="00C64ECE">
    <w:pPr>
      <w:pStyle w:val="Encabezado"/>
      <w:ind w:left="-709" w:right="-942"/>
    </w:pPr>
  </w:p>
  <w:p w14:paraId="15B09DF0" w14:textId="33A7BE01" w:rsidR="00636512" w:rsidRDefault="00636512" w:rsidP="00C64ECE">
    <w:pPr>
      <w:pStyle w:val="Encabezado"/>
      <w:ind w:left="-709" w:right="-942"/>
    </w:pPr>
  </w:p>
  <w:p w14:paraId="45310095" w14:textId="03F03444" w:rsidR="00636512" w:rsidRDefault="00636512" w:rsidP="00C64ECE">
    <w:pPr>
      <w:pStyle w:val="Encabezado"/>
      <w:ind w:left="-709" w:right="-942"/>
    </w:pPr>
  </w:p>
  <w:p w14:paraId="3111C9E7" w14:textId="127B7B69" w:rsidR="00636512" w:rsidRDefault="00636512" w:rsidP="00C64ECE">
    <w:pPr>
      <w:pStyle w:val="Encabezado"/>
      <w:ind w:left="-709" w:right="-942"/>
    </w:pPr>
  </w:p>
  <w:p w14:paraId="263A327A" w14:textId="21AF492A" w:rsidR="00636512" w:rsidRDefault="00636512" w:rsidP="00C64ECE">
    <w:pPr>
      <w:pStyle w:val="Encabezado"/>
      <w:ind w:left="-709" w:right="-942"/>
    </w:pPr>
  </w:p>
  <w:p w14:paraId="5C9697BD" w14:textId="77777777" w:rsidR="00636512" w:rsidRDefault="00636512" w:rsidP="00C64ECE">
    <w:pPr>
      <w:pStyle w:val="Encabezado"/>
      <w:ind w:left="-709" w:right="-942"/>
    </w:pPr>
  </w:p>
  <w:p w14:paraId="5BDF259B" w14:textId="18A453C0" w:rsidR="00636512" w:rsidRDefault="00636512" w:rsidP="00C64ECE">
    <w:pPr>
      <w:pStyle w:val="Encabezado"/>
      <w:ind w:left="-709" w:right="-942"/>
    </w:pPr>
    <w:r>
      <w:t xml:space="preserve">                                                                     </w:t>
    </w:r>
  </w:p>
  <w:p w14:paraId="51178D08" w14:textId="4089C33B" w:rsidR="00636512" w:rsidRDefault="00636512">
    <w:pPr>
      <w:ind w:right="-59"/>
      <w:rPr>
        <w:rStyle w:val="Nmerodepgina"/>
        <w:rFonts w:cs="Arial"/>
        <w:iCs/>
        <w:sz w:val="18"/>
        <w:szCs w:val="18"/>
      </w:rPr>
    </w:pPr>
    <w:r>
      <w:rPr>
        <w:bCs/>
        <w:sz w:val="18"/>
        <w:szCs w:val="18"/>
        <w:lang w:val="es-ES_tradnl"/>
      </w:rPr>
      <w:t xml:space="preserve">280 - Circular Externa No. </w:t>
    </w:r>
    <w:bookmarkStart w:id="2" w:name="numassigned_2"/>
    <w:r>
      <w:rPr>
        <w:bCs/>
        <w:sz w:val="18"/>
        <w:szCs w:val="18"/>
        <w:lang w:val="es-ES_tradnl"/>
      </w:rPr>
      <w:t xml:space="preserve">  </w:t>
    </w:r>
    <w:bookmarkEnd w:id="2"/>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C46654">
      <w:rPr>
        <w:rStyle w:val="Nmerodepgina"/>
        <w:rFonts w:cs="Arial"/>
        <w:iCs/>
        <w:noProof/>
        <w:sz w:val="18"/>
        <w:szCs w:val="18"/>
      </w:rPr>
      <w:t>5</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C46654">
      <w:rPr>
        <w:rStyle w:val="Nmerodepgina"/>
        <w:rFonts w:cs="Arial"/>
        <w:iCs/>
        <w:noProof/>
        <w:sz w:val="18"/>
        <w:szCs w:val="18"/>
      </w:rPr>
      <w:t>5</w:t>
    </w:r>
    <w:r>
      <w:rPr>
        <w:rStyle w:val="Nmerodepgina"/>
        <w:rFonts w:cs="Arial"/>
        <w:iCs/>
        <w:sz w:val="18"/>
        <w:szCs w:val="18"/>
      </w:rPr>
      <w:fldChar w:fldCharType="end"/>
    </w:r>
  </w:p>
  <w:p w14:paraId="1948711A" w14:textId="77777777" w:rsidR="00636512" w:rsidRDefault="00636512">
    <w:pPr>
      <w:ind w:right="-59"/>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0911" w14:textId="7140E315" w:rsidR="00636512" w:rsidRDefault="00636512" w:rsidP="003C3D0E">
    <w:pPr>
      <w:pStyle w:val="Encabezado"/>
      <w:ind w:left="-1701" w:right="-942"/>
    </w:pPr>
    <w:r>
      <w:rPr>
        <w:noProof/>
        <w:lang w:eastAsia="es-CO"/>
      </w:rPr>
      <w:drawing>
        <wp:inline distT="0" distB="0" distL="0" distR="0" wp14:anchorId="61548022" wp14:editId="4D0180D9">
          <wp:extent cx="7765975" cy="17811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9551" cy="1784289"/>
                  </a:xfrm>
                  <a:prstGeom prst="rect">
                    <a:avLst/>
                  </a:prstGeom>
                </pic:spPr>
              </pic:pic>
            </a:graphicData>
          </a:graphic>
        </wp:inline>
      </w:drawing>
    </w:r>
    <w:r>
      <w:t xml:space="preserve">                                                                         </w:t>
    </w:r>
  </w:p>
  <w:p w14:paraId="4385C11E" w14:textId="77777777" w:rsidR="00636512" w:rsidRPr="00FA17E0" w:rsidRDefault="00636512" w:rsidP="00EC3A42">
    <w:pPr>
      <w:pStyle w:val="Ttulo1"/>
      <w:rPr>
        <w:sz w:val="22"/>
        <w:szCs w:val="22"/>
      </w:rPr>
    </w:pPr>
  </w:p>
  <w:p w14:paraId="7D4E841F" w14:textId="77777777" w:rsidR="00636512" w:rsidRDefault="00636512" w:rsidP="00EC3A42">
    <w:pPr>
      <w:pStyle w:val="Ttulo1"/>
      <w:jc w:val="center"/>
      <w:rPr>
        <w:sz w:val="28"/>
        <w:szCs w:val="28"/>
      </w:rPr>
    </w:pPr>
    <w:r>
      <w:rPr>
        <w:sz w:val="28"/>
        <w:szCs w:val="28"/>
      </w:rPr>
      <w:t>CIRCULAR EXTERNA No.</w:t>
    </w:r>
    <w:r w:rsidRPr="00AD1E04">
      <w:rPr>
        <w:noProof/>
        <w:lang w:val="es-ES" w:eastAsia="es-ES"/>
      </w:rPr>
      <w:t xml:space="preserve"> </w:t>
    </w:r>
    <w:r>
      <w:rPr>
        <w:sz w:val="28"/>
        <w:szCs w:val="28"/>
      </w:rPr>
      <w:t xml:space="preserve"> </w:t>
    </w:r>
    <w:bookmarkStart w:id="3" w:name="numassigned"/>
    <w:r>
      <w:rPr>
        <w:sz w:val="28"/>
        <w:szCs w:val="28"/>
      </w:rPr>
      <w:t xml:space="preserve">  </w:t>
    </w:r>
    <w:bookmarkEnd w:id="3"/>
  </w:p>
  <w:p w14:paraId="482F8C80" w14:textId="77777777" w:rsidR="00636512" w:rsidRDefault="00636512" w:rsidP="00EC3A42">
    <w:pPr>
      <w:rPr>
        <w:b/>
        <w:bCs/>
        <w:i w:val="0"/>
      </w:rPr>
    </w:pPr>
  </w:p>
  <w:p w14:paraId="632DF26C" w14:textId="77777777" w:rsidR="00636512" w:rsidRDefault="00636512" w:rsidP="00EC3A42">
    <w:pPr>
      <w:rPr>
        <w:b/>
        <w:bCs/>
        <w:i w:val="0"/>
      </w:rPr>
    </w:pPr>
  </w:p>
  <w:tbl>
    <w:tblPr>
      <w:tblW w:w="0" w:type="auto"/>
      <w:tblLook w:val="00A0" w:firstRow="1" w:lastRow="0" w:firstColumn="1" w:lastColumn="0" w:noHBand="0" w:noVBand="0"/>
    </w:tblPr>
    <w:tblGrid>
      <w:gridCol w:w="1526"/>
      <w:gridCol w:w="7737"/>
    </w:tblGrid>
    <w:tr w:rsidR="00636512" w14:paraId="54368F7E" w14:textId="77777777" w:rsidTr="00636512">
      <w:tc>
        <w:tcPr>
          <w:tcW w:w="1526" w:type="dxa"/>
        </w:tcPr>
        <w:p w14:paraId="74BA16F6" w14:textId="4129577C" w:rsidR="00636512" w:rsidRPr="007922E4" w:rsidRDefault="00636512" w:rsidP="00755F2F">
          <w:pPr>
            <w:rPr>
              <w:b/>
              <w:bCs/>
              <w:i w:val="0"/>
            </w:rPr>
          </w:pPr>
          <w:r>
            <w:rPr>
              <w:b/>
              <w:bCs/>
              <w:i w:val="0"/>
              <w:sz w:val="22"/>
              <w:szCs w:val="22"/>
              <w:lang w:val="es-ES"/>
            </w:rPr>
            <w:t>PARA:</w:t>
          </w:r>
        </w:p>
      </w:tc>
      <w:tc>
        <w:tcPr>
          <w:tcW w:w="7737" w:type="dxa"/>
        </w:tcPr>
        <w:p w14:paraId="39FF7FB8" w14:textId="77777777" w:rsidR="00636512" w:rsidRDefault="00636512" w:rsidP="00755F2F">
          <w:pPr>
            <w:jc w:val="both"/>
            <w:rPr>
              <w:b/>
              <w:bCs/>
              <w:i w:val="0"/>
              <w:sz w:val="22"/>
              <w:szCs w:val="22"/>
              <w:lang w:val="es-ES"/>
            </w:rPr>
          </w:pPr>
          <w:r>
            <w:rPr>
              <w:b/>
              <w:bCs/>
              <w:i w:val="0"/>
              <w:sz w:val="22"/>
              <w:szCs w:val="22"/>
              <w:lang w:val="es-ES"/>
            </w:rPr>
            <w:t>REPRESENTANTES LEGALES, MIEMBROS DE LOS ÓRGANOS DE ADMINISTRACIÓN, DE CONTROL SOCIAL Y REVISORES FISCALES DE LAS ORGANIZACIONES DE ECONOMIA SOLIDARIA VIGILADAS</w:t>
          </w:r>
        </w:p>
        <w:p w14:paraId="220FD3A1" w14:textId="6A0E19C5" w:rsidR="00636512" w:rsidRPr="007922E4" w:rsidRDefault="00636512" w:rsidP="00755F2F">
          <w:pPr>
            <w:rPr>
              <w:b/>
              <w:bCs/>
              <w:i w:val="0"/>
            </w:rPr>
          </w:pPr>
        </w:p>
      </w:tc>
    </w:tr>
    <w:tr w:rsidR="00636512" w14:paraId="009171FD" w14:textId="77777777" w:rsidTr="00636512">
      <w:tc>
        <w:tcPr>
          <w:tcW w:w="1526" w:type="dxa"/>
        </w:tcPr>
        <w:p w14:paraId="4C2BC3F7" w14:textId="65783005" w:rsidR="00636512" w:rsidRPr="007922E4" w:rsidRDefault="00636512" w:rsidP="00755F2F">
          <w:pPr>
            <w:rPr>
              <w:b/>
              <w:bCs/>
              <w:i w:val="0"/>
            </w:rPr>
          </w:pPr>
          <w:r>
            <w:rPr>
              <w:b/>
              <w:bCs/>
              <w:i w:val="0"/>
              <w:sz w:val="22"/>
              <w:szCs w:val="22"/>
              <w:lang w:val="es-ES"/>
            </w:rPr>
            <w:t>DE:</w:t>
          </w:r>
        </w:p>
      </w:tc>
      <w:tc>
        <w:tcPr>
          <w:tcW w:w="7737" w:type="dxa"/>
        </w:tcPr>
        <w:p w14:paraId="2B973853" w14:textId="1CB85B09" w:rsidR="00636512" w:rsidRDefault="00636512" w:rsidP="00755F2F">
          <w:pPr>
            <w:rPr>
              <w:b/>
              <w:bCs/>
              <w:i w:val="0"/>
              <w:sz w:val="22"/>
              <w:szCs w:val="22"/>
              <w:lang w:val="es-ES"/>
            </w:rPr>
          </w:pPr>
          <w:r>
            <w:rPr>
              <w:b/>
              <w:bCs/>
              <w:i w:val="0"/>
              <w:sz w:val="22"/>
              <w:szCs w:val="22"/>
              <w:lang w:val="es-ES"/>
            </w:rPr>
            <w:t>SUPERINTENDENTA DE LA ECONOMÍA SOLIDARIA</w:t>
          </w:r>
        </w:p>
        <w:p w14:paraId="4609C9D9" w14:textId="4ED71040" w:rsidR="00636512" w:rsidRPr="007922E4" w:rsidRDefault="00636512" w:rsidP="00755F2F">
          <w:pPr>
            <w:rPr>
              <w:b/>
              <w:bCs/>
              <w:i w:val="0"/>
            </w:rPr>
          </w:pPr>
        </w:p>
      </w:tc>
    </w:tr>
    <w:tr w:rsidR="00636512" w14:paraId="1B967028" w14:textId="77777777" w:rsidTr="00636512">
      <w:tc>
        <w:tcPr>
          <w:tcW w:w="1526" w:type="dxa"/>
        </w:tcPr>
        <w:p w14:paraId="66CE9674" w14:textId="579F3DB9" w:rsidR="00636512" w:rsidRPr="007922E4" w:rsidRDefault="00636512" w:rsidP="00755F2F">
          <w:pPr>
            <w:rPr>
              <w:b/>
              <w:bCs/>
              <w:i w:val="0"/>
            </w:rPr>
          </w:pPr>
          <w:r>
            <w:rPr>
              <w:b/>
              <w:bCs/>
              <w:i w:val="0"/>
              <w:sz w:val="22"/>
              <w:szCs w:val="22"/>
              <w:lang w:val="es-ES"/>
            </w:rPr>
            <w:t>ASUNTO:</w:t>
          </w:r>
        </w:p>
      </w:tc>
      <w:tc>
        <w:tcPr>
          <w:tcW w:w="7737" w:type="dxa"/>
        </w:tcPr>
        <w:p w14:paraId="60DE454D" w14:textId="50E75661" w:rsidR="00636512" w:rsidRDefault="00636512" w:rsidP="00755F2F">
          <w:pPr>
            <w:jc w:val="both"/>
            <w:rPr>
              <w:b/>
              <w:bCs/>
              <w:i w:val="0"/>
              <w:sz w:val="22"/>
              <w:szCs w:val="22"/>
              <w:lang w:val="es-ES"/>
            </w:rPr>
          </w:pPr>
          <w:r>
            <w:rPr>
              <w:b/>
              <w:bCs/>
              <w:i w:val="0"/>
              <w:sz w:val="22"/>
              <w:szCs w:val="22"/>
              <w:lang w:val="es-ES"/>
            </w:rPr>
            <w:t>MEDIDAS PARA GESTIONAR LA CARTERA DE CRÉDITOS Y MODIFICACIÓN DE LOS ANEXOS 1 Y 2 DEL CAPÍTULO II, TÍTULO IV DE LA CIRCULAR BÁSICA CONTABLE Y FINANCIERA</w:t>
          </w:r>
        </w:p>
        <w:p w14:paraId="1E6ECC0A" w14:textId="130FD154" w:rsidR="00636512" w:rsidRPr="007922E4" w:rsidRDefault="00636512" w:rsidP="00755F2F">
          <w:pPr>
            <w:rPr>
              <w:b/>
              <w:bCs/>
              <w:i w:val="0"/>
            </w:rPr>
          </w:pPr>
        </w:p>
      </w:tc>
    </w:tr>
    <w:tr w:rsidR="00636512" w14:paraId="0074D0B9" w14:textId="77777777" w:rsidTr="00636512">
      <w:tc>
        <w:tcPr>
          <w:tcW w:w="1526" w:type="dxa"/>
        </w:tcPr>
        <w:p w14:paraId="75595DCF" w14:textId="77777777" w:rsidR="00636512" w:rsidRPr="007922E4" w:rsidRDefault="00636512" w:rsidP="00EC3A42">
          <w:pPr>
            <w:rPr>
              <w:b/>
              <w:bCs/>
              <w:i w:val="0"/>
            </w:rPr>
          </w:pPr>
          <w:r w:rsidRPr="007922E4">
            <w:rPr>
              <w:b/>
              <w:bCs/>
              <w:i w:val="0"/>
              <w:sz w:val="22"/>
              <w:szCs w:val="22"/>
            </w:rPr>
            <w:t>FECHA:</w:t>
          </w:r>
        </w:p>
      </w:tc>
      <w:tc>
        <w:tcPr>
          <w:tcW w:w="7737" w:type="dxa"/>
        </w:tcPr>
        <w:p w14:paraId="0070BFA5" w14:textId="77777777" w:rsidR="00636512" w:rsidRPr="007922E4" w:rsidRDefault="00636512" w:rsidP="00EC3A42">
          <w:pPr>
            <w:rPr>
              <w:b/>
              <w:bCs/>
              <w:i w:val="0"/>
            </w:rPr>
          </w:pPr>
          <w:r w:rsidRPr="007922E4">
            <w:rPr>
              <w:b/>
              <w:bCs/>
              <w:i w:val="0"/>
              <w:sz w:val="22"/>
              <w:szCs w:val="22"/>
            </w:rPr>
            <w:t xml:space="preserve">Bogotá D.C., </w:t>
          </w:r>
          <w:bookmarkStart w:id="4" w:name="fecassignedlong"/>
          <w:r w:rsidRPr="007922E4">
            <w:rPr>
              <w:b/>
              <w:bCs/>
              <w:i w:val="0"/>
              <w:sz w:val="22"/>
              <w:szCs w:val="22"/>
            </w:rPr>
            <w:t xml:space="preserve">  </w:t>
          </w:r>
          <w:bookmarkEnd w:id="4"/>
        </w:p>
      </w:tc>
    </w:tr>
  </w:tbl>
  <w:p w14:paraId="1C77EA07" w14:textId="77777777" w:rsidR="00636512" w:rsidRDefault="00636512" w:rsidP="00EC3A42">
    <w:pPr>
      <w:rPr>
        <w:b/>
        <w:bCs/>
        <w:i w:val="0"/>
      </w:rPr>
    </w:pPr>
  </w:p>
  <w:p w14:paraId="3F59E2F3" w14:textId="77777777" w:rsidR="00636512" w:rsidRDefault="00636512" w:rsidP="00EC3A42">
    <w:pPr>
      <w:rPr>
        <w:b/>
        <w:bCs/>
        <w:i w:val="0"/>
        <w:sz w:val="22"/>
        <w:szCs w:val="22"/>
      </w:rPr>
    </w:pPr>
    <w:r>
      <w:rPr>
        <w:noProof/>
        <w:lang w:eastAsia="es-CO"/>
      </w:rPr>
      <mc:AlternateContent>
        <mc:Choice Requires="wps">
          <w:drawing>
            <wp:anchor distT="0" distB="0" distL="114300" distR="114300" simplePos="0" relativeHeight="251665920"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85C2" id="Line 3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14:paraId="76644BA5" w14:textId="77777777" w:rsidR="00636512" w:rsidRDefault="00636512" w:rsidP="00EC3A42">
    <w:pPr>
      <w:ind w:right="-59"/>
      <w:rPr>
        <w:bCs/>
        <w:sz w:val="18"/>
        <w:szCs w:val="18"/>
        <w:lang w:val="es-ES_tradnl"/>
      </w:rPr>
    </w:pPr>
  </w:p>
  <w:p w14:paraId="00B6E67E" w14:textId="0DE1CD6A" w:rsidR="00636512" w:rsidRDefault="00636512" w:rsidP="00EC3A42">
    <w:pPr>
      <w:ind w:right="-59"/>
      <w:rPr>
        <w:sz w:val="18"/>
        <w:szCs w:val="18"/>
      </w:rPr>
    </w:pPr>
    <w:r>
      <w:rPr>
        <w:bCs/>
        <w:sz w:val="18"/>
        <w:szCs w:val="18"/>
        <w:lang w:val="es-ES_tradnl"/>
      </w:rPr>
      <w:t xml:space="preserve">280 - Circular Externa No. </w:t>
    </w:r>
    <w:bookmarkStart w:id="5" w:name="numassigned_1"/>
    <w:r>
      <w:rPr>
        <w:bCs/>
        <w:sz w:val="18"/>
        <w:szCs w:val="18"/>
        <w:lang w:val="es-ES_tradnl"/>
      </w:rPr>
      <w:t xml:space="preserve">  </w:t>
    </w:r>
    <w:bookmarkEnd w:id="5"/>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C46654">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C46654">
      <w:rPr>
        <w:rStyle w:val="Nmerodepgina"/>
        <w:rFonts w:cs="Arial"/>
        <w:iCs/>
        <w:noProof/>
        <w:sz w:val="18"/>
        <w:szCs w:val="18"/>
      </w:rPr>
      <w:t>5</w:t>
    </w:r>
    <w:r>
      <w:rPr>
        <w:rStyle w:val="Nmerodepgina"/>
        <w:rFonts w:cs="Arial"/>
        <w:iCs/>
        <w:sz w:val="18"/>
        <w:szCs w:val="18"/>
      </w:rPr>
      <w:fldChar w:fldCharType="end"/>
    </w:r>
  </w:p>
  <w:p w14:paraId="03B51278" w14:textId="77777777" w:rsidR="00636512" w:rsidRDefault="00636512" w:rsidP="007B0A34">
    <w:pPr>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8FB36A7"/>
    <w:multiLevelType w:val="hybridMultilevel"/>
    <w:tmpl w:val="6B3696C4"/>
    <w:lvl w:ilvl="0" w:tplc="77325552">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430553E1"/>
    <w:multiLevelType w:val="hybridMultilevel"/>
    <w:tmpl w:val="FF202AD8"/>
    <w:lvl w:ilvl="0" w:tplc="6972BD70">
      <w:start w:val="3"/>
      <w:numFmt w:val="bullet"/>
      <w:lvlText w:val=""/>
      <w:lvlJc w:val="left"/>
      <w:pPr>
        <w:ind w:left="720" w:hanging="360"/>
      </w:pPr>
      <w:rPr>
        <w:rFonts w:ascii="Symbol" w:eastAsia="Times New Roman" w:hAnsi="Symbol" w:cs="Arial,Bold"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56C2161C"/>
    <w:multiLevelType w:val="hybridMultilevel"/>
    <w:tmpl w:val="ABA44D42"/>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 w15:restartNumberingAfterBreak="0">
    <w:nsid w:val="5B964922"/>
    <w:multiLevelType w:val="hybridMultilevel"/>
    <w:tmpl w:val="29C4C23A"/>
    <w:lvl w:ilvl="0" w:tplc="CFEAF584">
      <w:start w:val="1"/>
      <w:numFmt w:val="decimal"/>
      <w:lvlText w:val="%1."/>
      <w:lvlJc w:val="left"/>
      <w:pPr>
        <w:ind w:left="845" w:hanging="360"/>
      </w:pPr>
      <w:rPr>
        <w:rFonts w:ascii="Arial" w:eastAsiaTheme="minorHAnsi" w:hAnsi="Arial" w:cs="Arial"/>
      </w:rPr>
    </w:lvl>
    <w:lvl w:ilvl="1" w:tplc="240A0003" w:tentative="1">
      <w:start w:val="1"/>
      <w:numFmt w:val="bullet"/>
      <w:lvlText w:val="o"/>
      <w:lvlJc w:val="left"/>
      <w:pPr>
        <w:ind w:left="1565" w:hanging="360"/>
      </w:pPr>
      <w:rPr>
        <w:rFonts w:ascii="Courier New" w:hAnsi="Courier New" w:cs="Courier New" w:hint="default"/>
      </w:rPr>
    </w:lvl>
    <w:lvl w:ilvl="2" w:tplc="240A0005" w:tentative="1">
      <w:start w:val="1"/>
      <w:numFmt w:val="bullet"/>
      <w:lvlText w:val=""/>
      <w:lvlJc w:val="left"/>
      <w:pPr>
        <w:ind w:left="2285" w:hanging="360"/>
      </w:pPr>
      <w:rPr>
        <w:rFonts w:ascii="Wingdings" w:hAnsi="Wingdings" w:hint="default"/>
      </w:rPr>
    </w:lvl>
    <w:lvl w:ilvl="3" w:tplc="240A0001" w:tentative="1">
      <w:start w:val="1"/>
      <w:numFmt w:val="bullet"/>
      <w:lvlText w:val=""/>
      <w:lvlJc w:val="left"/>
      <w:pPr>
        <w:ind w:left="3005" w:hanging="360"/>
      </w:pPr>
      <w:rPr>
        <w:rFonts w:ascii="Symbol" w:hAnsi="Symbol" w:hint="default"/>
      </w:rPr>
    </w:lvl>
    <w:lvl w:ilvl="4" w:tplc="240A0003" w:tentative="1">
      <w:start w:val="1"/>
      <w:numFmt w:val="bullet"/>
      <w:lvlText w:val="o"/>
      <w:lvlJc w:val="left"/>
      <w:pPr>
        <w:ind w:left="3725" w:hanging="360"/>
      </w:pPr>
      <w:rPr>
        <w:rFonts w:ascii="Courier New" w:hAnsi="Courier New" w:cs="Courier New" w:hint="default"/>
      </w:rPr>
    </w:lvl>
    <w:lvl w:ilvl="5" w:tplc="240A0005" w:tentative="1">
      <w:start w:val="1"/>
      <w:numFmt w:val="bullet"/>
      <w:lvlText w:val=""/>
      <w:lvlJc w:val="left"/>
      <w:pPr>
        <w:ind w:left="4445" w:hanging="360"/>
      </w:pPr>
      <w:rPr>
        <w:rFonts w:ascii="Wingdings" w:hAnsi="Wingdings" w:hint="default"/>
      </w:rPr>
    </w:lvl>
    <w:lvl w:ilvl="6" w:tplc="240A0001" w:tentative="1">
      <w:start w:val="1"/>
      <w:numFmt w:val="bullet"/>
      <w:lvlText w:val=""/>
      <w:lvlJc w:val="left"/>
      <w:pPr>
        <w:ind w:left="5165" w:hanging="360"/>
      </w:pPr>
      <w:rPr>
        <w:rFonts w:ascii="Symbol" w:hAnsi="Symbol" w:hint="default"/>
      </w:rPr>
    </w:lvl>
    <w:lvl w:ilvl="7" w:tplc="240A0003" w:tentative="1">
      <w:start w:val="1"/>
      <w:numFmt w:val="bullet"/>
      <w:lvlText w:val="o"/>
      <w:lvlJc w:val="left"/>
      <w:pPr>
        <w:ind w:left="5885" w:hanging="360"/>
      </w:pPr>
      <w:rPr>
        <w:rFonts w:ascii="Courier New" w:hAnsi="Courier New" w:cs="Courier New" w:hint="default"/>
      </w:rPr>
    </w:lvl>
    <w:lvl w:ilvl="8" w:tplc="240A0005" w:tentative="1">
      <w:start w:val="1"/>
      <w:numFmt w:val="bullet"/>
      <w:lvlText w:val=""/>
      <w:lvlJc w:val="left"/>
      <w:pPr>
        <w:ind w:left="6605" w:hanging="360"/>
      </w:pPr>
      <w:rPr>
        <w:rFonts w:ascii="Wingdings" w:hAnsi="Wingdings" w:hint="default"/>
      </w:rPr>
    </w:lvl>
  </w:abstractNum>
  <w:abstractNum w:abstractNumId="6" w15:restartNumberingAfterBreak="0">
    <w:nsid w:val="5D426A64"/>
    <w:multiLevelType w:val="hybridMultilevel"/>
    <w:tmpl w:val="040C7C0E"/>
    <w:lvl w:ilvl="0" w:tplc="50740730">
      <w:start w:val="3"/>
      <w:numFmt w:val="bullet"/>
      <w:lvlText w:val=""/>
      <w:lvlJc w:val="left"/>
      <w:pPr>
        <w:ind w:left="2160" w:hanging="360"/>
      </w:pPr>
      <w:rPr>
        <w:rFonts w:ascii="Symbol" w:eastAsia="Times New Roman" w:hAnsi="Symbol" w:cs="Arial,Bold" w:hint="default"/>
      </w:rPr>
    </w:lvl>
    <w:lvl w:ilvl="1" w:tplc="240A0003">
      <w:start w:val="1"/>
      <w:numFmt w:val="bullet"/>
      <w:lvlText w:val="o"/>
      <w:lvlJc w:val="left"/>
      <w:pPr>
        <w:ind w:left="2880" w:hanging="360"/>
      </w:pPr>
      <w:rPr>
        <w:rFonts w:ascii="Courier New" w:hAnsi="Courier New" w:cs="Courier New" w:hint="default"/>
      </w:rPr>
    </w:lvl>
    <w:lvl w:ilvl="2" w:tplc="240A0005">
      <w:start w:val="1"/>
      <w:numFmt w:val="bullet"/>
      <w:lvlText w:val=""/>
      <w:lvlJc w:val="left"/>
      <w:pPr>
        <w:ind w:left="3600" w:hanging="360"/>
      </w:pPr>
      <w:rPr>
        <w:rFonts w:ascii="Wingdings" w:hAnsi="Wingdings" w:hint="default"/>
      </w:rPr>
    </w:lvl>
    <w:lvl w:ilvl="3" w:tplc="240A0001">
      <w:start w:val="1"/>
      <w:numFmt w:val="bullet"/>
      <w:lvlText w:val=""/>
      <w:lvlJc w:val="left"/>
      <w:pPr>
        <w:ind w:left="4320" w:hanging="360"/>
      </w:pPr>
      <w:rPr>
        <w:rFonts w:ascii="Symbol" w:hAnsi="Symbol" w:hint="default"/>
      </w:rPr>
    </w:lvl>
    <w:lvl w:ilvl="4" w:tplc="240A0003">
      <w:start w:val="1"/>
      <w:numFmt w:val="bullet"/>
      <w:lvlText w:val="o"/>
      <w:lvlJc w:val="left"/>
      <w:pPr>
        <w:ind w:left="5040" w:hanging="360"/>
      </w:pPr>
      <w:rPr>
        <w:rFonts w:ascii="Courier New" w:hAnsi="Courier New" w:cs="Courier New" w:hint="default"/>
      </w:rPr>
    </w:lvl>
    <w:lvl w:ilvl="5" w:tplc="240A0005">
      <w:start w:val="1"/>
      <w:numFmt w:val="bullet"/>
      <w:lvlText w:val=""/>
      <w:lvlJc w:val="left"/>
      <w:pPr>
        <w:ind w:left="5760" w:hanging="360"/>
      </w:pPr>
      <w:rPr>
        <w:rFonts w:ascii="Wingdings" w:hAnsi="Wingdings" w:hint="default"/>
      </w:rPr>
    </w:lvl>
    <w:lvl w:ilvl="6" w:tplc="240A0001">
      <w:start w:val="1"/>
      <w:numFmt w:val="bullet"/>
      <w:lvlText w:val=""/>
      <w:lvlJc w:val="left"/>
      <w:pPr>
        <w:ind w:left="6480" w:hanging="360"/>
      </w:pPr>
      <w:rPr>
        <w:rFonts w:ascii="Symbol" w:hAnsi="Symbol" w:hint="default"/>
      </w:rPr>
    </w:lvl>
    <w:lvl w:ilvl="7" w:tplc="240A0003">
      <w:start w:val="1"/>
      <w:numFmt w:val="bullet"/>
      <w:lvlText w:val="o"/>
      <w:lvlJc w:val="left"/>
      <w:pPr>
        <w:ind w:left="7200" w:hanging="360"/>
      </w:pPr>
      <w:rPr>
        <w:rFonts w:ascii="Courier New" w:hAnsi="Courier New" w:cs="Courier New" w:hint="default"/>
      </w:rPr>
    </w:lvl>
    <w:lvl w:ilvl="8" w:tplc="240A0005">
      <w:start w:val="1"/>
      <w:numFmt w:val="bullet"/>
      <w:lvlText w:val=""/>
      <w:lvlJc w:val="left"/>
      <w:pPr>
        <w:ind w:left="7920" w:hanging="360"/>
      </w:pPr>
      <w:rPr>
        <w:rFonts w:ascii="Wingdings" w:hAnsi="Wingdings" w:hint="default"/>
      </w:rPr>
    </w:lvl>
  </w:abstractNum>
  <w:abstractNum w:abstractNumId="7" w15:restartNumberingAfterBreak="0">
    <w:nsid w:val="79AE4AC2"/>
    <w:multiLevelType w:val="hybridMultilevel"/>
    <w:tmpl w:val="8278B178"/>
    <w:lvl w:ilvl="0" w:tplc="605E6C4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DC42A94"/>
    <w:multiLevelType w:val="hybridMultilevel"/>
    <w:tmpl w:val="4CD88A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3"/>
  </w:num>
  <w:num w:numId="6">
    <w:abstractNumId w:val="8"/>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1A"/>
    <w:rsid w:val="00001E46"/>
    <w:rsid w:val="00006165"/>
    <w:rsid w:val="0001093F"/>
    <w:rsid w:val="00022F76"/>
    <w:rsid w:val="000314EC"/>
    <w:rsid w:val="000315A7"/>
    <w:rsid w:val="0006361F"/>
    <w:rsid w:val="00070BC6"/>
    <w:rsid w:val="00072861"/>
    <w:rsid w:val="00073528"/>
    <w:rsid w:val="00075AE6"/>
    <w:rsid w:val="000767BA"/>
    <w:rsid w:val="000779A4"/>
    <w:rsid w:val="00090BFD"/>
    <w:rsid w:val="00091B37"/>
    <w:rsid w:val="0009535C"/>
    <w:rsid w:val="000954A0"/>
    <w:rsid w:val="000977CF"/>
    <w:rsid w:val="000B1429"/>
    <w:rsid w:val="000C0C1F"/>
    <w:rsid w:val="000D02DD"/>
    <w:rsid w:val="000E2344"/>
    <w:rsid w:val="000E4ECE"/>
    <w:rsid w:val="000F7FD7"/>
    <w:rsid w:val="00101C10"/>
    <w:rsid w:val="00101C15"/>
    <w:rsid w:val="00127D7B"/>
    <w:rsid w:val="0015734C"/>
    <w:rsid w:val="0016084B"/>
    <w:rsid w:val="001677C9"/>
    <w:rsid w:val="00177F6B"/>
    <w:rsid w:val="0019574D"/>
    <w:rsid w:val="001A7A70"/>
    <w:rsid w:val="001B0D2A"/>
    <w:rsid w:val="001B1326"/>
    <w:rsid w:val="001B2992"/>
    <w:rsid w:val="001B6D00"/>
    <w:rsid w:val="001C0585"/>
    <w:rsid w:val="001C65B7"/>
    <w:rsid w:val="001D219A"/>
    <w:rsid w:val="001D2B49"/>
    <w:rsid w:val="001D5919"/>
    <w:rsid w:val="00203587"/>
    <w:rsid w:val="00212348"/>
    <w:rsid w:val="002205AE"/>
    <w:rsid w:val="00232124"/>
    <w:rsid w:val="00241D28"/>
    <w:rsid w:val="00254439"/>
    <w:rsid w:val="0026227A"/>
    <w:rsid w:val="002628D7"/>
    <w:rsid w:val="0026518F"/>
    <w:rsid w:val="00267AE0"/>
    <w:rsid w:val="00281833"/>
    <w:rsid w:val="0028184C"/>
    <w:rsid w:val="00285323"/>
    <w:rsid w:val="00291540"/>
    <w:rsid w:val="002B6768"/>
    <w:rsid w:val="002C42CF"/>
    <w:rsid w:val="002D6620"/>
    <w:rsid w:val="00301001"/>
    <w:rsid w:val="003035F4"/>
    <w:rsid w:val="00307EB9"/>
    <w:rsid w:val="00315601"/>
    <w:rsid w:val="00325A55"/>
    <w:rsid w:val="00333CFB"/>
    <w:rsid w:val="00337DC2"/>
    <w:rsid w:val="00340D96"/>
    <w:rsid w:val="003563C1"/>
    <w:rsid w:val="00356E72"/>
    <w:rsid w:val="003674C2"/>
    <w:rsid w:val="00372FCD"/>
    <w:rsid w:val="0037318A"/>
    <w:rsid w:val="00377327"/>
    <w:rsid w:val="00383183"/>
    <w:rsid w:val="00390900"/>
    <w:rsid w:val="00397C2D"/>
    <w:rsid w:val="003A2E49"/>
    <w:rsid w:val="003A3492"/>
    <w:rsid w:val="003B19B3"/>
    <w:rsid w:val="003B1F78"/>
    <w:rsid w:val="003C3D0E"/>
    <w:rsid w:val="003C5A72"/>
    <w:rsid w:val="003C740B"/>
    <w:rsid w:val="003D61CC"/>
    <w:rsid w:val="003E2B22"/>
    <w:rsid w:val="003E2C28"/>
    <w:rsid w:val="003E3473"/>
    <w:rsid w:val="003E6DAB"/>
    <w:rsid w:val="003E7D2B"/>
    <w:rsid w:val="00407B86"/>
    <w:rsid w:val="0041110A"/>
    <w:rsid w:val="00420671"/>
    <w:rsid w:val="00425E2C"/>
    <w:rsid w:val="00431602"/>
    <w:rsid w:val="00444738"/>
    <w:rsid w:val="00447FF5"/>
    <w:rsid w:val="00461C9B"/>
    <w:rsid w:val="004762ED"/>
    <w:rsid w:val="00477B6D"/>
    <w:rsid w:val="004A0367"/>
    <w:rsid w:val="004A2294"/>
    <w:rsid w:val="004A2CE5"/>
    <w:rsid w:val="004A426A"/>
    <w:rsid w:val="004B6331"/>
    <w:rsid w:val="004D23D7"/>
    <w:rsid w:val="004D7D98"/>
    <w:rsid w:val="004F507D"/>
    <w:rsid w:val="00502F00"/>
    <w:rsid w:val="00504F5E"/>
    <w:rsid w:val="00507BF0"/>
    <w:rsid w:val="00522339"/>
    <w:rsid w:val="00540E83"/>
    <w:rsid w:val="005429B3"/>
    <w:rsid w:val="00546DC4"/>
    <w:rsid w:val="00565972"/>
    <w:rsid w:val="005678F2"/>
    <w:rsid w:val="00573F1B"/>
    <w:rsid w:val="005C02D2"/>
    <w:rsid w:val="005C0AED"/>
    <w:rsid w:val="005E5D43"/>
    <w:rsid w:val="005E7CF9"/>
    <w:rsid w:val="0061582F"/>
    <w:rsid w:val="006164C0"/>
    <w:rsid w:val="00636512"/>
    <w:rsid w:val="00646E3A"/>
    <w:rsid w:val="00647900"/>
    <w:rsid w:val="0065024C"/>
    <w:rsid w:val="0065307B"/>
    <w:rsid w:val="006646E0"/>
    <w:rsid w:val="00664AD1"/>
    <w:rsid w:val="0066566A"/>
    <w:rsid w:val="00667D79"/>
    <w:rsid w:val="00672BE5"/>
    <w:rsid w:val="00674580"/>
    <w:rsid w:val="00680C7A"/>
    <w:rsid w:val="006870A1"/>
    <w:rsid w:val="0069387F"/>
    <w:rsid w:val="00696F6D"/>
    <w:rsid w:val="006A1B4A"/>
    <w:rsid w:val="006A4EE0"/>
    <w:rsid w:val="006B2104"/>
    <w:rsid w:val="006B250E"/>
    <w:rsid w:val="006B37AF"/>
    <w:rsid w:val="006B3B08"/>
    <w:rsid w:val="006B5B41"/>
    <w:rsid w:val="006D735C"/>
    <w:rsid w:val="006E22B2"/>
    <w:rsid w:val="006E7A33"/>
    <w:rsid w:val="006F3CD3"/>
    <w:rsid w:val="006F5BA6"/>
    <w:rsid w:val="007060DD"/>
    <w:rsid w:val="0072145C"/>
    <w:rsid w:val="007428BE"/>
    <w:rsid w:val="00755F2F"/>
    <w:rsid w:val="007611E6"/>
    <w:rsid w:val="00767E8F"/>
    <w:rsid w:val="00773ACA"/>
    <w:rsid w:val="007922E4"/>
    <w:rsid w:val="007B0A34"/>
    <w:rsid w:val="007B363D"/>
    <w:rsid w:val="007B4592"/>
    <w:rsid w:val="007C178A"/>
    <w:rsid w:val="007F12B6"/>
    <w:rsid w:val="007F6590"/>
    <w:rsid w:val="00815A6B"/>
    <w:rsid w:val="0082573D"/>
    <w:rsid w:val="00833110"/>
    <w:rsid w:val="00837908"/>
    <w:rsid w:val="008563F9"/>
    <w:rsid w:val="00857C4C"/>
    <w:rsid w:val="00864EE7"/>
    <w:rsid w:val="00872595"/>
    <w:rsid w:val="008731A8"/>
    <w:rsid w:val="00883F53"/>
    <w:rsid w:val="00887DA5"/>
    <w:rsid w:val="00892FA8"/>
    <w:rsid w:val="008B744D"/>
    <w:rsid w:val="008E7267"/>
    <w:rsid w:val="008F10F4"/>
    <w:rsid w:val="00921409"/>
    <w:rsid w:val="009250A9"/>
    <w:rsid w:val="0092737E"/>
    <w:rsid w:val="009423DA"/>
    <w:rsid w:val="00946D3E"/>
    <w:rsid w:val="0095459F"/>
    <w:rsid w:val="0098441A"/>
    <w:rsid w:val="00991739"/>
    <w:rsid w:val="009B02E7"/>
    <w:rsid w:val="009C596A"/>
    <w:rsid w:val="009C6F4D"/>
    <w:rsid w:val="009C7158"/>
    <w:rsid w:val="009E298D"/>
    <w:rsid w:val="00A04A27"/>
    <w:rsid w:val="00A07251"/>
    <w:rsid w:val="00A2658D"/>
    <w:rsid w:val="00A612B8"/>
    <w:rsid w:val="00A6710F"/>
    <w:rsid w:val="00A671E6"/>
    <w:rsid w:val="00A7323D"/>
    <w:rsid w:val="00A7425B"/>
    <w:rsid w:val="00A91DEB"/>
    <w:rsid w:val="00A94D4B"/>
    <w:rsid w:val="00AA372C"/>
    <w:rsid w:val="00AA494B"/>
    <w:rsid w:val="00AB17B6"/>
    <w:rsid w:val="00AD1E04"/>
    <w:rsid w:val="00AD67DA"/>
    <w:rsid w:val="00AE0535"/>
    <w:rsid w:val="00AE127D"/>
    <w:rsid w:val="00AE4BFB"/>
    <w:rsid w:val="00AF5574"/>
    <w:rsid w:val="00AF5C84"/>
    <w:rsid w:val="00B04D7F"/>
    <w:rsid w:val="00B16792"/>
    <w:rsid w:val="00B56475"/>
    <w:rsid w:val="00B60A7C"/>
    <w:rsid w:val="00B62C65"/>
    <w:rsid w:val="00B660AA"/>
    <w:rsid w:val="00B730EC"/>
    <w:rsid w:val="00B76AD8"/>
    <w:rsid w:val="00B80E53"/>
    <w:rsid w:val="00B843B6"/>
    <w:rsid w:val="00B84FB2"/>
    <w:rsid w:val="00B868AF"/>
    <w:rsid w:val="00BB6319"/>
    <w:rsid w:val="00BB786F"/>
    <w:rsid w:val="00BD17A4"/>
    <w:rsid w:val="00BD60AE"/>
    <w:rsid w:val="00BE424D"/>
    <w:rsid w:val="00BE4C4E"/>
    <w:rsid w:val="00BE5AD2"/>
    <w:rsid w:val="00BF4A5A"/>
    <w:rsid w:val="00BF60A1"/>
    <w:rsid w:val="00C10D42"/>
    <w:rsid w:val="00C23BA2"/>
    <w:rsid w:val="00C318FD"/>
    <w:rsid w:val="00C354ED"/>
    <w:rsid w:val="00C46654"/>
    <w:rsid w:val="00C616FB"/>
    <w:rsid w:val="00C64ECE"/>
    <w:rsid w:val="00CA1953"/>
    <w:rsid w:val="00CA55A0"/>
    <w:rsid w:val="00CD0F6A"/>
    <w:rsid w:val="00CE14F5"/>
    <w:rsid w:val="00CF5F53"/>
    <w:rsid w:val="00D04EE2"/>
    <w:rsid w:val="00D06F1F"/>
    <w:rsid w:val="00D317C9"/>
    <w:rsid w:val="00D52E5D"/>
    <w:rsid w:val="00D53D77"/>
    <w:rsid w:val="00D61A24"/>
    <w:rsid w:val="00D61F00"/>
    <w:rsid w:val="00D80585"/>
    <w:rsid w:val="00DB5315"/>
    <w:rsid w:val="00E02853"/>
    <w:rsid w:val="00E05080"/>
    <w:rsid w:val="00E1373C"/>
    <w:rsid w:val="00E1732D"/>
    <w:rsid w:val="00E20347"/>
    <w:rsid w:val="00E2350D"/>
    <w:rsid w:val="00E54D92"/>
    <w:rsid w:val="00E659B3"/>
    <w:rsid w:val="00E7790F"/>
    <w:rsid w:val="00E82F98"/>
    <w:rsid w:val="00E84F2F"/>
    <w:rsid w:val="00EA3D9E"/>
    <w:rsid w:val="00EA5654"/>
    <w:rsid w:val="00EB43ED"/>
    <w:rsid w:val="00EB7284"/>
    <w:rsid w:val="00EC0BEF"/>
    <w:rsid w:val="00EC3A42"/>
    <w:rsid w:val="00EC7703"/>
    <w:rsid w:val="00ED74AD"/>
    <w:rsid w:val="00EF5995"/>
    <w:rsid w:val="00EF6A2D"/>
    <w:rsid w:val="00F14086"/>
    <w:rsid w:val="00F17729"/>
    <w:rsid w:val="00F23113"/>
    <w:rsid w:val="00F24B16"/>
    <w:rsid w:val="00F25A05"/>
    <w:rsid w:val="00F3485A"/>
    <w:rsid w:val="00F46734"/>
    <w:rsid w:val="00F74FB1"/>
    <w:rsid w:val="00F87B2E"/>
    <w:rsid w:val="00F979DF"/>
    <w:rsid w:val="00FA17E0"/>
    <w:rsid w:val="00FA2E8D"/>
    <w:rsid w:val="00FC32A9"/>
    <w:rsid w:val="00FC4EC9"/>
    <w:rsid w:val="00FD6B99"/>
    <w:rsid w:val="00FD757D"/>
    <w:rsid w:val="00FE2679"/>
    <w:rsid w:val="00FE636E"/>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25660768-60C5-45F8-B44C-0B999F9D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styleId="Sinespaciado">
    <w:name w:val="No Spacing"/>
    <w:uiPriority w:val="1"/>
    <w:qFormat/>
    <w:rsid w:val="00755F2F"/>
    <w:rPr>
      <w:rFonts w:asciiTheme="minorHAnsi" w:eastAsiaTheme="minorHAnsi" w:hAnsiTheme="minorHAnsi" w:cstheme="minorBidi"/>
      <w:lang w:val="es-CO" w:eastAsia="en-US"/>
    </w:rPr>
  </w:style>
  <w:style w:type="character" w:customStyle="1" w:styleId="PrrafodelistaCar">
    <w:name w:val="Párrafo de lista Car"/>
    <w:basedOn w:val="Fuentedeprrafopredeter"/>
    <w:link w:val="Prrafodelista"/>
    <w:uiPriority w:val="34"/>
    <w:locked/>
    <w:rsid w:val="00755F2F"/>
    <w:rPr>
      <w:sz w:val="24"/>
      <w:szCs w:val="24"/>
      <w:lang w:val="es-CO" w:eastAsia="es-CO"/>
    </w:rPr>
  </w:style>
  <w:style w:type="paragraph" w:styleId="Prrafodelista">
    <w:name w:val="List Paragraph"/>
    <w:basedOn w:val="Normal"/>
    <w:link w:val="PrrafodelistaCar"/>
    <w:uiPriority w:val="34"/>
    <w:qFormat/>
    <w:rsid w:val="00755F2F"/>
    <w:pPr>
      <w:suppressAutoHyphens w:val="0"/>
      <w:ind w:left="720"/>
      <w:contextualSpacing/>
    </w:pPr>
    <w:rPr>
      <w:rFonts w:ascii="Times New Roman" w:hAnsi="Times New Roman" w:cs="Times New Roman"/>
      <w:i w:val="0"/>
      <w:lang w:eastAsia="es-CO"/>
    </w:rPr>
  </w:style>
  <w:style w:type="paragraph" w:styleId="Asuntodelcomentario">
    <w:name w:val="annotation subject"/>
    <w:basedOn w:val="Textocomentario"/>
    <w:next w:val="Textocomentario"/>
    <w:link w:val="AsuntodelcomentarioCar"/>
    <w:uiPriority w:val="99"/>
    <w:semiHidden/>
    <w:unhideWhenUsed/>
    <w:rsid w:val="00887DA5"/>
    <w:rPr>
      <w:b/>
      <w:bCs/>
    </w:rPr>
  </w:style>
  <w:style w:type="character" w:customStyle="1" w:styleId="AsuntodelcomentarioCar">
    <w:name w:val="Asunto del comentario Car"/>
    <w:basedOn w:val="TextocomentarioCar"/>
    <w:link w:val="Asuntodelcomentario"/>
    <w:uiPriority w:val="99"/>
    <w:semiHidden/>
    <w:rsid w:val="00887DA5"/>
    <w:rPr>
      <w:rFonts w:ascii="Arial" w:hAnsi="Arial" w:cs="Arial"/>
      <w:b/>
      <w:bCs/>
      <w:i/>
      <w:sz w:val="20"/>
      <w:szCs w:val="20"/>
      <w:lang w:val="es-CO" w:eastAsia="ar-SA" w:bidi="ar-SA"/>
    </w:rPr>
  </w:style>
  <w:style w:type="paragraph" w:styleId="Revisin">
    <w:name w:val="Revision"/>
    <w:hidden/>
    <w:uiPriority w:val="99"/>
    <w:semiHidden/>
    <w:rsid w:val="00F74FB1"/>
    <w:rPr>
      <w:rFonts w:ascii="Arial" w:hAnsi="Arial" w:cs="Arial"/>
      <w:i/>
      <w:sz w:val="24"/>
      <w:szCs w:val="24"/>
      <w:lang w:val="es-C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8099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12FA-679B-43AB-BD4E-A3374260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Caterine Benitez Cardenas</cp:lastModifiedBy>
  <cp:revision>29</cp:revision>
  <cp:lastPrinted>2007-11-17T22:44:00Z</cp:lastPrinted>
  <dcterms:created xsi:type="dcterms:W3CDTF">2023-11-21T16:48:00Z</dcterms:created>
  <dcterms:modified xsi:type="dcterms:W3CDTF">2023-11-23T21:04:00Z</dcterms:modified>
</cp:coreProperties>
</file>