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0478" w14:textId="77777777" w:rsidR="00F005D6" w:rsidRDefault="0093618F">
      <w:pPr>
        <w:spacing w:after="0" w:line="240" w:lineRule="auto"/>
        <w:rPr>
          <w:rFonts w:ascii="Arial" w:eastAsia="Arial" w:hAnsi="Arial" w:cs="Arial"/>
          <w:sz w:val="24"/>
          <w:szCs w:val="24"/>
        </w:rPr>
      </w:pPr>
      <w:bookmarkStart w:id="0" w:name="_heading=h.gjdgxs" w:colFirst="0" w:colLast="0"/>
      <w:bookmarkEnd w:id="0"/>
      <w:r>
        <w:rPr>
          <w:noProof/>
        </w:rPr>
        <w:drawing>
          <wp:inline distT="0" distB="0" distL="0" distR="0" wp14:anchorId="5F6BE6BD" wp14:editId="497FBD59">
            <wp:extent cx="6934438" cy="1457918"/>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934438" cy="1457918"/>
                    </a:xfrm>
                    <a:prstGeom prst="rect">
                      <a:avLst/>
                    </a:prstGeom>
                    <a:ln/>
                  </pic:spPr>
                </pic:pic>
              </a:graphicData>
            </a:graphic>
          </wp:inline>
        </w:drawing>
      </w:r>
    </w:p>
    <w:p w14:paraId="7BB1416A" w14:textId="77777777" w:rsidR="00F005D6" w:rsidRPr="007F3989" w:rsidRDefault="00F005D6">
      <w:pPr>
        <w:keepNext/>
        <w:spacing w:after="0" w:line="240" w:lineRule="auto"/>
        <w:rPr>
          <w:rFonts w:ascii="Arial" w:eastAsia="Arial" w:hAnsi="Arial" w:cs="Arial"/>
          <w:b/>
        </w:rPr>
      </w:pPr>
    </w:p>
    <w:p w14:paraId="5A2766D5" w14:textId="77777777" w:rsidR="00F005D6" w:rsidRPr="007F3989" w:rsidRDefault="0093618F">
      <w:pPr>
        <w:keepNext/>
        <w:spacing w:after="0" w:line="240" w:lineRule="auto"/>
        <w:jc w:val="center"/>
        <w:rPr>
          <w:rFonts w:ascii="Arial" w:eastAsia="Arial" w:hAnsi="Arial" w:cs="Arial"/>
          <w:b/>
        </w:rPr>
      </w:pPr>
      <w:r w:rsidRPr="007F3989">
        <w:rPr>
          <w:rFonts w:ascii="Arial" w:eastAsia="Arial" w:hAnsi="Arial" w:cs="Arial"/>
          <w:b/>
        </w:rPr>
        <w:t xml:space="preserve">CIRCULAR EXTERNA No.  </w:t>
      </w:r>
      <w:bookmarkStart w:id="1" w:name="bookmark=id.30j0zll" w:colFirst="0" w:colLast="0"/>
      <w:bookmarkEnd w:id="1"/>
      <w:r w:rsidRPr="007F3989">
        <w:rPr>
          <w:rFonts w:ascii="Arial" w:eastAsia="Arial" w:hAnsi="Arial" w:cs="Arial"/>
          <w:b/>
        </w:rPr>
        <w:t xml:space="preserve">  </w:t>
      </w:r>
    </w:p>
    <w:p w14:paraId="34A0E5CD" w14:textId="77777777" w:rsidR="00F005D6" w:rsidRPr="007F3989" w:rsidRDefault="00F005D6">
      <w:pPr>
        <w:spacing w:after="0" w:line="240" w:lineRule="auto"/>
        <w:rPr>
          <w:rFonts w:ascii="Arial" w:eastAsia="Arial" w:hAnsi="Arial" w:cs="Arial"/>
          <w:b/>
        </w:rPr>
      </w:pPr>
    </w:p>
    <w:p w14:paraId="1B9CBCF2" w14:textId="77777777" w:rsidR="00F005D6" w:rsidRPr="007F3989" w:rsidRDefault="00F005D6">
      <w:pPr>
        <w:spacing w:after="0" w:line="240" w:lineRule="auto"/>
        <w:rPr>
          <w:rFonts w:ascii="Arial" w:eastAsia="Arial" w:hAnsi="Arial" w:cs="Arial"/>
          <w:b/>
        </w:rPr>
      </w:pPr>
    </w:p>
    <w:tbl>
      <w:tblPr>
        <w:tblStyle w:val="a"/>
        <w:tblW w:w="8838" w:type="dxa"/>
        <w:tblInd w:w="0" w:type="dxa"/>
        <w:tblLayout w:type="fixed"/>
        <w:tblLook w:val="0000" w:firstRow="0" w:lastRow="0" w:firstColumn="0" w:lastColumn="0" w:noHBand="0" w:noVBand="0"/>
      </w:tblPr>
      <w:tblGrid>
        <w:gridCol w:w="1502"/>
        <w:gridCol w:w="7336"/>
      </w:tblGrid>
      <w:tr w:rsidR="00F005D6" w:rsidRPr="007F3989" w14:paraId="1C7D70B9" w14:textId="77777777">
        <w:tc>
          <w:tcPr>
            <w:tcW w:w="1502" w:type="dxa"/>
          </w:tcPr>
          <w:p w14:paraId="670950BA" w14:textId="77777777" w:rsidR="00F005D6" w:rsidRPr="007F3989" w:rsidRDefault="0093618F">
            <w:pPr>
              <w:spacing w:after="0" w:line="240" w:lineRule="auto"/>
              <w:rPr>
                <w:rFonts w:ascii="Arial" w:eastAsia="Arial" w:hAnsi="Arial" w:cs="Arial"/>
                <w:b/>
              </w:rPr>
            </w:pPr>
            <w:r w:rsidRPr="007F3989">
              <w:rPr>
                <w:rFonts w:ascii="Arial" w:eastAsia="Arial" w:hAnsi="Arial" w:cs="Arial"/>
                <w:b/>
              </w:rPr>
              <w:t>PARA:</w:t>
            </w:r>
          </w:p>
        </w:tc>
        <w:tc>
          <w:tcPr>
            <w:tcW w:w="7336" w:type="dxa"/>
          </w:tcPr>
          <w:p w14:paraId="6B6ACDFA" w14:textId="77777777" w:rsidR="00F005D6" w:rsidRPr="007F3989" w:rsidRDefault="0093618F">
            <w:pPr>
              <w:spacing w:after="0" w:line="240" w:lineRule="auto"/>
              <w:jc w:val="both"/>
              <w:rPr>
                <w:rFonts w:ascii="Arial" w:eastAsia="Arial" w:hAnsi="Arial" w:cs="Arial"/>
              </w:rPr>
            </w:pPr>
            <w:r w:rsidRPr="007F3989">
              <w:rPr>
                <w:rFonts w:ascii="Arial" w:eastAsia="Arial" w:hAnsi="Arial" w:cs="Arial"/>
              </w:rPr>
              <w:t xml:space="preserve">ORGANIZACIONES SUJETAS A LA SUPERVISIÓN DE LA SUPERINTENDENCIA DE LA ECONOMÍA SOLIDARIA. </w:t>
            </w:r>
          </w:p>
          <w:p w14:paraId="7B6CEAED" w14:textId="77777777" w:rsidR="00F005D6" w:rsidRPr="007F3989" w:rsidRDefault="00F005D6">
            <w:pPr>
              <w:spacing w:after="0" w:line="240" w:lineRule="auto"/>
              <w:jc w:val="both"/>
              <w:rPr>
                <w:rFonts w:ascii="Arial" w:eastAsia="Arial" w:hAnsi="Arial" w:cs="Arial"/>
              </w:rPr>
            </w:pPr>
          </w:p>
        </w:tc>
      </w:tr>
      <w:tr w:rsidR="00F005D6" w:rsidRPr="007F3989" w14:paraId="551D689A" w14:textId="77777777">
        <w:tc>
          <w:tcPr>
            <w:tcW w:w="1502" w:type="dxa"/>
          </w:tcPr>
          <w:p w14:paraId="135A2EF8" w14:textId="77777777" w:rsidR="00F005D6" w:rsidRPr="007F3989" w:rsidRDefault="0093618F">
            <w:pPr>
              <w:spacing w:after="0" w:line="240" w:lineRule="auto"/>
              <w:rPr>
                <w:rFonts w:ascii="Arial" w:eastAsia="Arial" w:hAnsi="Arial" w:cs="Arial"/>
                <w:b/>
              </w:rPr>
            </w:pPr>
            <w:r w:rsidRPr="007F3989">
              <w:rPr>
                <w:rFonts w:ascii="Arial" w:eastAsia="Arial" w:hAnsi="Arial" w:cs="Arial"/>
                <w:b/>
              </w:rPr>
              <w:t>DE:</w:t>
            </w:r>
          </w:p>
        </w:tc>
        <w:tc>
          <w:tcPr>
            <w:tcW w:w="7336" w:type="dxa"/>
          </w:tcPr>
          <w:p w14:paraId="05C897B2" w14:textId="77777777" w:rsidR="00F005D6" w:rsidRPr="007F3989" w:rsidRDefault="0093618F">
            <w:pPr>
              <w:spacing w:after="0" w:line="240" w:lineRule="auto"/>
              <w:jc w:val="both"/>
              <w:rPr>
                <w:rFonts w:ascii="Arial" w:eastAsia="Arial" w:hAnsi="Arial" w:cs="Arial"/>
              </w:rPr>
            </w:pPr>
            <w:r w:rsidRPr="007F3989">
              <w:rPr>
                <w:rFonts w:ascii="Arial" w:eastAsia="Arial" w:hAnsi="Arial" w:cs="Arial"/>
              </w:rPr>
              <w:t xml:space="preserve">MARÍA JOSÉ NAVARRO MUÑOZ </w:t>
            </w:r>
          </w:p>
          <w:p w14:paraId="7B703298" w14:textId="77777777" w:rsidR="00F005D6" w:rsidRPr="007F3989" w:rsidRDefault="0093618F">
            <w:pPr>
              <w:spacing w:after="0" w:line="240" w:lineRule="auto"/>
              <w:jc w:val="both"/>
              <w:rPr>
                <w:rFonts w:ascii="Arial" w:eastAsia="Arial" w:hAnsi="Arial" w:cs="Arial"/>
              </w:rPr>
            </w:pPr>
            <w:r w:rsidRPr="007F3989">
              <w:rPr>
                <w:rFonts w:ascii="Arial" w:eastAsia="Arial" w:hAnsi="Arial" w:cs="Arial"/>
              </w:rPr>
              <w:t xml:space="preserve">SUPERINTENDENTA DE LA ECONOMÍA SOLIDARIA </w:t>
            </w:r>
          </w:p>
          <w:p w14:paraId="1A51F47F" w14:textId="77777777" w:rsidR="00F005D6" w:rsidRPr="007F3989" w:rsidRDefault="00F005D6">
            <w:pPr>
              <w:spacing w:after="0" w:line="240" w:lineRule="auto"/>
              <w:rPr>
                <w:rFonts w:ascii="Arial" w:eastAsia="Arial" w:hAnsi="Arial" w:cs="Arial"/>
                <w:b/>
              </w:rPr>
            </w:pPr>
          </w:p>
        </w:tc>
      </w:tr>
      <w:tr w:rsidR="00F005D6" w:rsidRPr="007F3989" w14:paraId="044C7D28" w14:textId="77777777">
        <w:tc>
          <w:tcPr>
            <w:tcW w:w="1502" w:type="dxa"/>
          </w:tcPr>
          <w:p w14:paraId="6442CC30" w14:textId="77777777" w:rsidR="00F005D6" w:rsidRPr="007F3989" w:rsidRDefault="0093618F">
            <w:pPr>
              <w:spacing w:after="0" w:line="240" w:lineRule="auto"/>
              <w:rPr>
                <w:rFonts w:ascii="Arial" w:eastAsia="Arial" w:hAnsi="Arial" w:cs="Arial"/>
                <w:b/>
              </w:rPr>
            </w:pPr>
            <w:r w:rsidRPr="007F3989">
              <w:rPr>
                <w:rFonts w:ascii="Arial" w:eastAsia="Arial" w:hAnsi="Arial" w:cs="Arial"/>
                <w:b/>
              </w:rPr>
              <w:t>ASUNTO:</w:t>
            </w:r>
          </w:p>
        </w:tc>
        <w:tc>
          <w:tcPr>
            <w:tcW w:w="7336" w:type="dxa"/>
          </w:tcPr>
          <w:p w14:paraId="71A02B05" w14:textId="4BC4B9D6" w:rsidR="00F005D6" w:rsidRPr="007F3989" w:rsidRDefault="0093618F">
            <w:pPr>
              <w:spacing w:after="0" w:line="240" w:lineRule="auto"/>
              <w:jc w:val="both"/>
              <w:rPr>
                <w:rFonts w:ascii="Arial" w:eastAsia="Arial" w:hAnsi="Arial" w:cs="Arial"/>
              </w:rPr>
            </w:pPr>
            <w:r w:rsidRPr="007F3989">
              <w:rPr>
                <w:rFonts w:ascii="Arial" w:eastAsia="Arial" w:hAnsi="Arial" w:cs="Arial"/>
              </w:rPr>
              <w:t>MODIFICACIÓN</w:t>
            </w:r>
            <w:r w:rsidR="001B3615" w:rsidRPr="007F3989">
              <w:rPr>
                <w:rFonts w:ascii="Arial" w:eastAsia="Arial" w:hAnsi="Arial" w:cs="Arial"/>
              </w:rPr>
              <w:t xml:space="preserve"> </w:t>
            </w:r>
            <w:r w:rsidRPr="007F3989">
              <w:rPr>
                <w:rFonts w:ascii="Arial" w:eastAsia="Arial" w:hAnsi="Arial" w:cs="Arial"/>
              </w:rPr>
              <w:t>DEL NUMERAL 4 DEL CAPÍTULO III DEL TÍTULO IV DE LA CIRCULAR BÁSICA JURÍDICA.</w:t>
            </w:r>
          </w:p>
          <w:p w14:paraId="289F5A00" w14:textId="77777777" w:rsidR="00F005D6" w:rsidRPr="007F3989" w:rsidRDefault="00F005D6">
            <w:pPr>
              <w:spacing w:after="0" w:line="240" w:lineRule="auto"/>
              <w:jc w:val="both"/>
              <w:rPr>
                <w:rFonts w:ascii="Arial" w:eastAsia="Arial" w:hAnsi="Arial" w:cs="Arial"/>
              </w:rPr>
            </w:pPr>
          </w:p>
        </w:tc>
      </w:tr>
      <w:tr w:rsidR="00F005D6" w:rsidRPr="007F3989" w14:paraId="08B38710" w14:textId="77777777">
        <w:tc>
          <w:tcPr>
            <w:tcW w:w="1502" w:type="dxa"/>
          </w:tcPr>
          <w:p w14:paraId="056A2221" w14:textId="77777777" w:rsidR="00F005D6" w:rsidRPr="007F3989" w:rsidRDefault="0093618F">
            <w:pPr>
              <w:spacing w:after="0" w:line="240" w:lineRule="auto"/>
              <w:rPr>
                <w:rFonts w:ascii="Arial" w:eastAsia="Arial" w:hAnsi="Arial" w:cs="Arial"/>
                <w:b/>
              </w:rPr>
            </w:pPr>
            <w:r w:rsidRPr="007F3989">
              <w:rPr>
                <w:rFonts w:ascii="Arial" w:eastAsia="Arial" w:hAnsi="Arial" w:cs="Arial"/>
                <w:b/>
              </w:rPr>
              <w:t>FECHA:</w:t>
            </w:r>
          </w:p>
        </w:tc>
        <w:tc>
          <w:tcPr>
            <w:tcW w:w="7336" w:type="dxa"/>
          </w:tcPr>
          <w:p w14:paraId="53AC011D" w14:textId="77777777" w:rsidR="00F005D6" w:rsidRPr="007F3989" w:rsidRDefault="0093618F">
            <w:pPr>
              <w:spacing w:after="0" w:line="240" w:lineRule="auto"/>
              <w:rPr>
                <w:rFonts w:ascii="Arial" w:eastAsia="Arial" w:hAnsi="Arial" w:cs="Arial"/>
              </w:rPr>
            </w:pPr>
            <w:r w:rsidRPr="007F3989">
              <w:rPr>
                <w:rFonts w:ascii="Arial" w:eastAsia="Arial" w:hAnsi="Arial" w:cs="Arial"/>
              </w:rPr>
              <w:t xml:space="preserve">Bogotá D.C., </w:t>
            </w:r>
            <w:bookmarkStart w:id="2" w:name="bookmark=id.1fob9te" w:colFirst="0" w:colLast="0"/>
            <w:bookmarkEnd w:id="2"/>
            <w:r w:rsidRPr="007F3989">
              <w:rPr>
                <w:rFonts w:ascii="Arial" w:eastAsia="Arial" w:hAnsi="Arial" w:cs="Arial"/>
              </w:rPr>
              <w:t xml:space="preserve">  </w:t>
            </w:r>
          </w:p>
        </w:tc>
      </w:tr>
    </w:tbl>
    <w:p w14:paraId="43C21563" w14:textId="77777777" w:rsidR="00F005D6" w:rsidRDefault="0093618F">
      <w:pPr>
        <w:spacing w:after="0" w:line="240" w:lineRule="auto"/>
        <w:rPr>
          <w:rFonts w:ascii="Arial" w:eastAsia="Arial" w:hAnsi="Arial" w:cs="Arial"/>
          <w:b/>
        </w:rPr>
      </w:pPr>
      <w:r>
        <w:rPr>
          <w:noProof/>
        </w:rPr>
        <mc:AlternateContent>
          <mc:Choice Requires="wps">
            <w:drawing>
              <wp:anchor distT="0" distB="0" distL="114300" distR="114300" simplePos="0" relativeHeight="251658240" behindDoc="0" locked="0" layoutInCell="1" hidden="0" allowOverlap="1" wp14:anchorId="448FCD42" wp14:editId="5BC23338">
                <wp:simplePos x="0" y="0"/>
                <wp:positionH relativeFrom="column">
                  <wp:posOffset>12701</wp:posOffset>
                </wp:positionH>
                <wp:positionV relativeFrom="paragraph">
                  <wp:posOffset>38100</wp:posOffset>
                </wp:positionV>
                <wp:extent cx="0" cy="57150"/>
                <wp:effectExtent l="0" t="0" r="0" b="0"/>
                <wp:wrapTopAndBottom distT="0" distB="0"/>
                <wp:docPr id="14" name="Conector recto de flecha 14"/>
                <wp:cNvGraphicFramePr/>
                <a:graphic xmlns:a="http://schemas.openxmlformats.org/drawingml/2006/main">
                  <a:graphicData uri="http://schemas.microsoft.com/office/word/2010/wordprocessingShape">
                    <wps:wsp>
                      <wps:cNvCnPr/>
                      <wps:spPr>
                        <a:xfrm>
                          <a:off x="2526600" y="3780000"/>
                          <a:ext cx="5638800" cy="0"/>
                        </a:xfrm>
                        <a:prstGeom prst="straightConnector1">
                          <a:avLst/>
                        </a:prstGeom>
                        <a:noFill/>
                        <a:ln w="57150" cap="flat" cmpd="thinThick">
                          <a:solidFill>
                            <a:srgbClr val="000000"/>
                          </a:solidFill>
                          <a:prstDash val="solid"/>
                          <a:round/>
                          <a:headEnd type="none" w="med" len="med"/>
                          <a:tailEnd type="none" w="med" len="med"/>
                        </a:ln>
                      </wps:spPr>
                      <wps:bodyPr/>
                    </wps:wsp>
                  </a:graphicData>
                </a:graphic>
              </wp:anchor>
            </w:drawing>
          </mc:Choice>
          <mc:Fallback>
            <w:pict>
              <v:shapetype w14:anchorId="7416A291" id="_x0000_t32" coordsize="21600,21600" o:spt="32" o:oned="t" path="m,l21600,21600e" filled="f">
                <v:path arrowok="t" fillok="f" o:connecttype="none"/>
                <o:lock v:ext="edit" shapetype="t"/>
              </v:shapetype>
              <v:shape id="Conector recto de flecha 14" o:spid="_x0000_s1026" type="#_x0000_t32" style="position:absolute;margin-left:1pt;margin-top:3pt;width:0;height: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" strokeweight="4.5pt">
                <v:stroke linestyle="thinThick"/>
                <w10:wrap type="topAndBottom"/>
              </v:shape>
            </w:pict>
          </mc:Fallback>
        </mc:AlternateContent>
      </w:r>
    </w:p>
    <w:p w14:paraId="07BB41F9" w14:textId="77777777" w:rsidR="00F005D6" w:rsidRDefault="0093618F">
      <w:pPr>
        <w:tabs>
          <w:tab w:val="center" w:pos="4252"/>
          <w:tab w:val="right" w:pos="8504"/>
        </w:tabs>
        <w:spacing w:after="0" w:line="240" w:lineRule="auto"/>
        <w:jc w:val="both"/>
        <w:rPr>
          <w:rFonts w:ascii="Arial" w:eastAsia="Arial" w:hAnsi="Arial" w:cs="Arial"/>
        </w:rPr>
      </w:pPr>
      <w:r>
        <w:rPr>
          <w:rFonts w:ascii="Arial" w:eastAsia="Arial" w:hAnsi="Arial" w:cs="Arial"/>
        </w:rPr>
        <w:t>Dentro de las facultades de la Superintendencia de la Economía Solidaria, previstas en el artículo 36 de la Ley 454 de 1998, se encuentra la señalada en el numeral 22 que prevé: “</w:t>
      </w:r>
      <w:r>
        <w:rPr>
          <w:rFonts w:ascii="Arial" w:eastAsia="Arial" w:hAnsi="Arial" w:cs="Arial"/>
          <w:i/>
        </w:rPr>
        <w:t>Instruir a las instituciones vigiladas sobre la manera como deben cumplirse las disposiciones que rigen su actividad, fijar los criterios técnicos y jurídicos que faciliten el cumplimiento de tales normas y señalar los procedimientos para su cabal aplicación”.</w:t>
      </w:r>
    </w:p>
    <w:p w14:paraId="35DE9A1E" w14:textId="77777777" w:rsidR="00F005D6" w:rsidRDefault="00F005D6">
      <w:pPr>
        <w:tabs>
          <w:tab w:val="center" w:pos="4252"/>
          <w:tab w:val="right" w:pos="8504"/>
        </w:tabs>
        <w:spacing w:after="0" w:line="240" w:lineRule="auto"/>
        <w:jc w:val="both"/>
        <w:rPr>
          <w:rFonts w:ascii="Arial" w:eastAsia="Arial" w:hAnsi="Arial" w:cs="Arial"/>
        </w:rPr>
      </w:pPr>
    </w:p>
    <w:p w14:paraId="50094C3D" w14:textId="28C7A30D" w:rsidR="00F005D6" w:rsidRDefault="0093618F">
      <w:pPr>
        <w:tabs>
          <w:tab w:val="center" w:pos="4252"/>
          <w:tab w:val="right" w:pos="8504"/>
        </w:tabs>
        <w:spacing w:after="0" w:line="240" w:lineRule="auto"/>
        <w:jc w:val="both"/>
        <w:rPr>
          <w:rFonts w:ascii="Arial" w:eastAsia="Arial" w:hAnsi="Arial" w:cs="Arial"/>
        </w:rPr>
      </w:pPr>
      <w:r>
        <w:rPr>
          <w:rFonts w:ascii="Arial" w:eastAsia="Arial" w:hAnsi="Arial" w:cs="Arial"/>
        </w:rPr>
        <w:t xml:space="preserve">Mediante la Circular Básica Jurídica, expedida a través de la Circular Externa 20 del 18 de diciembre de 2020, </w:t>
      </w:r>
      <w:r>
        <w:rPr>
          <w:rFonts w:ascii="Arial" w:eastAsia="Arial" w:hAnsi="Arial" w:cs="Arial"/>
          <w:highlight w:val="white"/>
        </w:rPr>
        <w:t>que entró en vigencia con la publicación en Diario Oficial No. 51.571 del 28 de enero de 2021</w:t>
      </w:r>
      <w:r>
        <w:rPr>
          <w:rFonts w:ascii="Arial" w:eastAsia="Arial" w:hAnsi="Arial" w:cs="Arial"/>
        </w:rPr>
        <w:t xml:space="preserve"> y modificada por la Circular Externa 31 del 28 de abril de 2021, por medio de la cual se corrigieron unos errores formales; se estableció en el numeral 4° del capítulo III, título IV la regulación relacionada con la liquidación de la tasa de contribución en los casos de reporte extemporáneo o no reporte de la información financiera necesaria para la liquidación de la contribución. </w:t>
      </w:r>
    </w:p>
    <w:p w14:paraId="040E691D" w14:textId="77777777" w:rsidR="001B3615" w:rsidRDefault="001B3615">
      <w:pPr>
        <w:tabs>
          <w:tab w:val="center" w:pos="4252"/>
          <w:tab w:val="right" w:pos="8504"/>
        </w:tabs>
        <w:spacing w:after="0" w:line="240" w:lineRule="auto"/>
        <w:jc w:val="both"/>
        <w:rPr>
          <w:rFonts w:ascii="Arial" w:eastAsia="Arial" w:hAnsi="Arial" w:cs="Arial"/>
        </w:rPr>
      </w:pPr>
    </w:p>
    <w:p w14:paraId="0FBEADC9" w14:textId="77777777" w:rsidR="00F005D6" w:rsidRDefault="0093618F">
      <w:pPr>
        <w:tabs>
          <w:tab w:val="center" w:pos="4252"/>
          <w:tab w:val="right" w:pos="8504"/>
        </w:tabs>
        <w:spacing w:after="0" w:line="240" w:lineRule="auto"/>
        <w:jc w:val="both"/>
        <w:rPr>
          <w:rFonts w:ascii="Arial" w:eastAsia="Arial" w:hAnsi="Arial" w:cs="Arial"/>
        </w:rPr>
      </w:pPr>
      <w:r>
        <w:rPr>
          <w:rFonts w:ascii="Arial" w:eastAsia="Arial" w:hAnsi="Arial" w:cs="Arial"/>
        </w:rPr>
        <w:t xml:space="preserve">Que mediante Resolución No. 2024100000305 del 15 de enero de 2024 se creó el Grupo Interno de Trabajo de Analítica de Datos, el cual tiene dentro de sus funciones, las siguientes: </w:t>
      </w:r>
    </w:p>
    <w:p w14:paraId="211DA188" w14:textId="77777777" w:rsidR="00F005D6" w:rsidRDefault="00F005D6">
      <w:pPr>
        <w:tabs>
          <w:tab w:val="center" w:pos="4252"/>
          <w:tab w:val="right" w:pos="8504"/>
        </w:tabs>
        <w:spacing w:after="0" w:line="240" w:lineRule="auto"/>
        <w:jc w:val="both"/>
        <w:rPr>
          <w:rFonts w:ascii="Arial" w:eastAsia="Arial" w:hAnsi="Arial" w:cs="Arial"/>
        </w:rPr>
      </w:pPr>
    </w:p>
    <w:p w14:paraId="08CAAA03" w14:textId="77777777" w:rsidR="00F005D6" w:rsidRDefault="0093618F">
      <w:pPr>
        <w:tabs>
          <w:tab w:val="center" w:pos="4252"/>
          <w:tab w:val="right" w:pos="8504"/>
        </w:tabs>
        <w:spacing w:after="0" w:line="240" w:lineRule="auto"/>
        <w:ind w:left="720"/>
        <w:jc w:val="both"/>
        <w:rPr>
          <w:rFonts w:ascii="Arial" w:eastAsia="Arial" w:hAnsi="Arial" w:cs="Arial"/>
          <w:i/>
          <w:sz w:val="20"/>
          <w:szCs w:val="20"/>
        </w:rPr>
      </w:pPr>
      <w:r>
        <w:rPr>
          <w:rFonts w:ascii="Arial" w:eastAsia="Arial" w:hAnsi="Arial" w:cs="Arial"/>
          <w:i/>
          <w:sz w:val="20"/>
          <w:szCs w:val="20"/>
        </w:rPr>
        <w:t>“6. Revisar, ajustar o actualizar la caracterización del sector solidario y de las organizaciones solidarias supervisadas, de conformidad con el Marco Integral de Supervisión y los Modelos de Supervisión definidos.</w:t>
      </w:r>
    </w:p>
    <w:p w14:paraId="61E8F321" w14:textId="77777777" w:rsidR="00F005D6" w:rsidRDefault="00F005D6">
      <w:pPr>
        <w:tabs>
          <w:tab w:val="center" w:pos="4252"/>
          <w:tab w:val="right" w:pos="8504"/>
        </w:tabs>
        <w:spacing w:after="0" w:line="240" w:lineRule="auto"/>
        <w:ind w:left="720"/>
        <w:jc w:val="both"/>
        <w:rPr>
          <w:rFonts w:ascii="Arial" w:eastAsia="Arial" w:hAnsi="Arial" w:cs="Arial"/>
          <w:i/>
          <w:sz w:val="20"/>
          <w:szCs w:val="20"/>
        </w:rPr>
      </w:pPr>
    </w:p>
    <w:p w14:paraId="40C4221D" w14:textId="77777777" w:rsidR="00F005D6" w:rsidRDefault="0093618F">
      <w:pPr>
        <w:tabs>
          <w:tab w:val="center" w:pos="4252"/>
          <w:tab w:val="right" w:pos="8504"/>
        </w:tabs>
        <w:spacing w:after="0" w:line="240" w:lineRule="auto"/>
        <w:ind w:left="720"/>
        <w:jc w:val="both"/>
        <w:rPr>
          <w:rFonts w:ascii="Arial" w:eastAsia="Arial" w:hAnsi="Arial" w:cs="Arial"/>
          <w:i/>
          <w:sz w:val="20"/>
          <w:szCs w:val="20"/>
        </w:rPr>
      </w:pPr>
      <w:r>
        <w:rPr>
          <w:rFonts w:ascii="Arial" w:eastAsia="Arial" w:hAnsi="Arial" w:cs="Arial"/>
          <w:i/>
          <w:sz w:val="20"/>
          <w:szCs w:val="20"/>
        </w:rPr>
        <w:lastRenderedPageBreak/>
        <w:t>(...)</w:t>
      </w:r>
    </w:p>
    <w:p w14:paraId="3F5D864E" w14:textId="77777777" w:rsidR="00F005D6" w:rsidRDefault="00F005D6">
      <w:pPr>
        <w:tabs>
          <w:tab w:val="center" w:pos="4252"/>
          <w:tab w:val="right" w:pos="8504"/>
        </w:tabs>
        <w:spacing w:after="0" w:line="240" w:lineRule="auto"/>
        <w:ind w:left="720"/>
        <w:jc w:val="both"/>
        <w:rPr>
          <w:rFonts w:ascii="Arial" w:eastAsia="Arial" w:hAnsi="Arial" w:cs="Arial"/>
          <w:i/>
          <w:sz w:val="20"/>
          <w:szCs w:val="20"/>
        </w:rPr>
      </w:pPr>
    </w:p>
    <w:p w14:paraId="01F63B07" w14:textId="77777777" w:rsidR="00F005D6" w:rsidRDefault="0093618F">
      <w:pPr>
        <w:tabs>
          <w:tab w:val="center" w:pos="4252"/>
          <w:tab w:val="right" w:pos="8504"/>
        </w:tabs>
        <w:spacing w:after="0" w:line="240" w:lineRule="auto"/>
        <w:ind w:left="720"/>
        <w:jc w:val="both"/>
        <w:rPr>
          <w:rFonts w:ascii="Arial" w:eastAsia="Arial" w:hAnsi="Arial" w:cs="Arial"/>
          <w:i/>
          <w:sz w:val="20"/>
          <w:szCs w:val="20"/>
        </w:rPr>
      </w:pPr>
      <w:r>
        <w:rPr>
          <w:rFonts w:ascii="Arial" w:eastAsia="Arial" w:hAnsi="Arial" w:cs="Arial"/>
          <w:i/>
          <w:sz w:val="20"/>
          <w:szCs w:val="20"/>
        </w:rPr>
        <w:t>10. Apoyar en la elaboración, ajuste y actualización de las circulares y/o cartas circulares e instrucciones que deba impartir la Superintendencia de la Economía Solidaria, de acuerdo a los lineamientos y políticas institucionales”.</w:t>
      </w:r>
    </w:p>
    <w:p w14:paraId="5E43231B" w14:textId="77777777" w:rsidR="00F005D6" w:rsidRDefault="00F005D6">
      <w:pPr>
        <w:tabs>
          <w:tab w:val="center" w:pos="4252"/>
          <w:tab w:val="right" w:pos="8504"/>
        </w:tabs>
        <w:spacing w:after="0" w:line="240" w:lineRule="auto"/>
        <w:jc w:val="both"/>
        <w:rPr>
          <w:rFonts w:ascii="Arial" w:eastAsia="Arial" w:hAnsi="Arial" w:cs="Arial"/>
        </w:rPr>
      </w:pPr>
    </w:p>
    <w:p w14:paraId="50A6990D" w14:textId="52F8935B" w:rsidR="00F005D6" w:rsidRPr="0000680D" w:rsidRDefault="0093618F">
      <w:pPr>
        <w:tabs>
          <w:tab w:val="center" w:pos="4252"/>
          <w:tab w:val="right" w:pos="8504"/>
        </w:tabs>
        <w:spacing w:after="0" w:line="240" w:lineRule="auto"/>
        <w:jc w:val="both"/>
        <w:rPr>
          <w:rFonts w:ascii="Arial" w:eastAsia="Arial" w:hAnsi="Arial" w:cs="Arial"/>
        </w:rPr>
      </w:pPr>
      <w:r w:rsidRPr="0000680D">
        <w:rPr>
          <w:rFonts w:ascii="Arial" w:eastAsia="Arial" w:hAnsi="Arial" w:cs="Arial"/>
        </w:rPr>
        <w:t>Que de acuerdo con la precitada Circular Básica Jurídica y la</w:t>
      </w:r>
      <w:r w:rsidR="0000680D" w:rsidRPr="0000680D">
        <w:rPr>
          <w:rFonts w:ascii="Arial" w:eastAsia="Arial" w:hAnsi="Arial" w:cs="Arial"/>
        </w:rPr>
        <w:t xml:space="preserve"> metodología del cálculo del promedio de la tasa de crecimiento de los activos de las entidades del sector solidario</w:t>
      </w:r>
      <w:r w:rsidR="0000680D">
        <w:rPr>
          <w:rFonts w:ascii="Arial" w:eastAsia="Arial" w:hAnsi="Arial" w:cs="Arial"/>
        </w:rPr>
        <w:t xml:space="preserve"> determinada por esta Superintendencia</w:t>
      </w:r>
      <w:r w:rsidRPr="0000680D">
        <w:rPr>
          <w:rFonts w:ascii="Arial" w:eastAsia="Arial" w:hAnsi="Arial" w:cs="Arial"/>
        </w:rPr>
        <w:t xml:space="preserve">, la liquidación de la tasa de contribución por reportes extemporáneos o no reporte, se hará teniendo en cuenta la última contribución cobrada, la cual se ajustará aplicándole un incremento correspondiente al promedio de la </w:t>
      </w:r>
      <w:bookmarkStart w:id="3" w:name="_Hlk161935958"/>
      <w:r w:rsidRPr="0000680D">
        <w:rPr>
          <w:rFonts w:ascii="Arial" w:eastAsia="Arial" w:hAnsi="Arial" w:cs="Arial"/>
        </w:rPr>
        <w:t xml:space="preserve">tasa de crecimiento de los activos totales de las </w:t>
      </w:r>
      <w:r w:rsidR="001B3615" w:rsidRPr="0000680D">
        <w:rPr>
          <w:rFonts w:ascii="Arial" w:eastAsia="Arial" w:hAnsi="Arial" w:cs="Arial"/>
        </w:rPr>
        <w:t xml:space="preserve">entidades </w:t>
      </w:r>
      <w:r w:rsidRPr="0000680D">
        <w:rPr>
          <w:rFonts w:ascii="Arial" w:eastAsia="Arial" w:hAnsi="Arial" w:cs="Arial"/>
        </w:rPr>
        <w:t xml:space="preserve">del sector de </w:t>
      </w:r>
      <w:r w:rsidR="001B3615" w:rsidRPr="0000680D">
        <w:rPr>
          <w:rFonts w:ascii="Arial" w:eastAsia="Arial" w:hAnsi="Arial" w:cs="Arial"/>
        </w:rPr>
        <w:t xml:space="preserve">la </w:t>
      </w:r>
      <w:r w:rsidRPr="0000680D">
        <w:rPr>
          <w:rFonts w:ascii="Arial" w:eastAsia="Arial" w:hAnsi="Arial" w:cs="Arial"/>
        </w:rPr>
        <w:t xml:space="preserve">economía solidaria con un ajuste adicional del cinco por ciento (5%), </w:t>
      </w:r>
      <w:bookmarkEnd w:id="3"/>
      <w:r w:rsidRPr="0000680D">
        <w:rPr>
          <w:rFonts w:ascii="Arial" w:eastAsia="Arial" w:hAnsi="Arial" w:cs="Arial"/>
        </w:rPr>
        <w:t xml:space="preserve">según la información que suministre </w:t>
      </w:r>
      <w:r w:rsidR="001B3615" w:rsidRPr="0000680D">
        <w:rPr>
          <w:rFonts w:ascii="Arial" w:eastAsia="Arial" w:hAnsi="Arial" w:cs="Arial"/>
        </w:rPr>
        <w:t>el Grupo de Analítica de Datos</w:t>
      </w:r>
      <w:r w:rsidRPr="0000680D">
        <w:rPr>
          <w:rFonts w:ascii="Arial" w:eastAsia="Arial" w:hAnsi="Arial" w:cs="Arial"/>
        </w:rPr>
        <w:t>.</w:t>
      </w:r>
      <w:r w:rsidR="002E2D5B">
        <w:rPr>
          <w:rFonts w:ascii="Arial" w:eastAsia="Arial" w:hAnsi="Arial" w:cs="Arial"/>
        </w:rPr>
        <w:t xml:space="preserve"> Lo anterior de conformidad con lo establecido en el numeral 3 del artículo 38 de la Ley 454 de 1998.</w:t>
      </w:r>
    </w:p>
    <w:p w14:paraId="612E9D75" w14:textId="77777777" w:rsidR="00F005D6" w:rsidRPr="006F5D35" w:rsidRDefault="00F005D6">
      <w:pPr>
        <w:tabs>
          <w:tab w:val="center" w:pos="4252"/>
          <w:tab w:val="right" w:pos="8504"/>
        </w:tabs>
        <w:spacing w:after="0" w:line="240" w:lineRule="auto"/>
        <w:jc w:val="both"/>
        <w:rPr>
          <w:rFonts w:ascii="Arial" w:eastAsia="Arial" w:hAnsi="Arial" w:cs="Arial"/>
        </w:rPr>
      </w:pPr>
    </w:p>
    <w:p w14:paraId="545B6952" w14:textId="72D848D4" w:rsidR="00F005D6" w:rsidRPr="006F5D35" w:rsidRDefault="0093618F">
      <w:pPr>
        <w:tabs>
          <w:tab w:val="center" w:pos="4252"/>
          <w:tab w:val="right" w:pos="8504"/>
        </w:tabs>
        <w:spacing w:after="0" w:line="240" w:lineRule="auto"/>
        <w:jc w:val="both"/>
        <w:rPr>
          <w:rFonts w:ascii="Arial" w:eastAsia="Arial" w:hAnsi="Arial" w:cs="Arial"/>
        </w:rPr>
      </w:pPr>
      <w:r w:rsidRPr="006F5D35">
        <w:rPr>
          <w:rFonts w:ascii="Arial" w:eastAsia="Arial" w:hAnsi="Arial" w:cs="Arial"/>
        </w:rPr>
        <w:t xml:space="preserve">Por consiguiente, en ejercicio de la facultad otorgada a esta Superintendencia en el citado numeral 22 del artículo 36 de la Ley 454 de 1998 y </w:t>
      </w:r>
      <w:r w:rsidR="002E2D5B">
        <w:rPr>
          <w:rFonts w:ascii="Arial" w:eastAsia="Arial" w:hAnsi="Arial" w:cs="Arial"/>
        </w:rPr>
        <w:t>de acuerdo con la modificación de la metodología del cálculo de la tasa de crecimiento de los activos totales del sector, acorde a lo establecido en el numeral 3 del artículo 38 de la Ley 454 de 1998</w:t>
      </w:r>
      <w:r w:rsidRPr="006F5D35">
        <w:rPr>
          <w:rFonts w:ascii="Arial" w:eastAsia="Arial" w:hAnsi="Arial" w:cs="Arial"/>
        </w:rPr>
        <w:t>, se imparten las siguientes instrucciones:</w:t>
      </w:r>
    </w:p>
    <w:p w14:paraId="51E44422" w14:textId="77777777" w:rsidR="00F005D6" w:rsidRPr="006F5D35" w:rsidRDefault="0093618F">
      <w:pPr>
        <w:tabs>
          <w:tab w:val="center" w:pos="4252"/>
          <w:tab w:val="right" w:pos="8504"/>
        </w:tabs>
        <w:spacing w:after="0" w:line="240" w:lineRule="auto"/>
        <w:jc w:val="both"/>
        <w:rPr>
          <w:rFonts w:ascii="Arial" w:eastAsia="Arial" w:hAnsi="Arial" w:cs="Arial"/>
        </w:rPr>
      </w:pPr>
      <w:r w:rsidRPr="006F5D35">
        <w:rPr>
          <w:rFonts w:ascii="Arial" w:eastAsia="Arial" w:hAnsi="Arial" w:cs="Arial"/>
        </w:rPr>
        <w:t xml:space="preserve"> </w:t>
      </w:r>
    </w:p>
    <w:p w14:paraId="1DB4D406" w14:textId="19280E01" w:rsidR="002E2D5B" w:rsidRDefault="0093618F" w:rsidP="002E2D5B">
      <w:pPr>
        <w:jc w:val="both"/>
        <w:rPr>
          <w:rFonts w:ascii="Arial" w:eastAsia="Arial" w:hAnsi="Arial" w:cs="Arial"/>
        </w:rPr>
      </w:pPr>
      <w:r w:rsidRPr="006F5D35">
        <w:rPr>
          <w:rFonts w:ascii="Arial" w:eastAsia="Arial" w:hAnsi="Arial" w:cs="Arial"/>
          <w:b/>
        </w:rPr>
        <w:t xml:space="preserve">PRIMERA: </w:t>
      </w:r>
      <w:r w:rsidRPr="006F5D35">
        <w:rPr>
          <w:rFonts w:ascii="Arial" w:eastAsia="Arial" w:hAnsi="Arial" w:cs="Arial"/>
        </w:rPr>
        <w:t>Modificar el numeral 4 del Capítulo III, Título IV, de la Circular Básica Jurídica, Circular Externa No. 20 del 18 de diciembre de 2020, en el sentido de</w:t>
      </w:r>
      <w:r w:rsidR="002E2D5B">
        <w:rPr>
          <w:rFonts w:ascii="Arial" w:eastAsia="Arial" w:hAnsi="Arial" w:cs="Arial"/>
        </w:rPr>
        <w:t xml:space="preserve"> establecer que </w:t>
      </w:r>
      <w:r w:rsidR="002E2D5B">
        <w:rPr>
          <w:rFonts w:ascii="Arial" w:hAnsi="Arial" w:cs="Arial"/>
        </w:rPr>
        <w:t>c</w:t>
      </w:r>
      <w:r w:rsidR="002E2D5B" w:rsidRPr="001061FA">
        <w:rPr>
          <w:rFonts w:ascii="Arial" w:hAnsi="Arial" w:cs="Arial"/>
        </w:rPr>
        <w:t xml:space="preserve">uando una organización de economía solidaria no suministre oportunamente los balances a corte de 31 de diciembre del año anterior o no liquide la contribución respectiva, la Superintendencia liquidará  </w:t>
      </w:r>
      <w:r w:rsidR="002E2D5B" w:rsidRPr="00BB6BCB">
        <w:rPr>
          <w:rFonts w:ascii="Arial" w:eastAsia="Arial" w:hAnsi="Arial" w:cs="Arial"/>
        </w:rPr>
        <w:t>la contribución teniendo en cuenta la última</w:t>
      </w:r>
      <w:r w:rsidR="002E2D5B">
        <w:rPr>
          <w:rFonts w:ascii="Arial" w:eastAsia="Arial" w:hAnsi="Arial" w:cs="Arial"/>
        </w:rPr>
        <w:t xml:space="preserve"> contribución cobrada, la cual se ajustará aplicándole un incremento correspondiente al promedio de la </w:t>
      </w:r>
      <w:r w:rsidR="002E2D5B" w:rsidRPr="0000680D">
        <w:rPr>
          <w:rFonts w:ascii="Arial" w:eastAsia="Arial" w:hAnsi="Arial" w:cs="Arial"/>
        </w:rPr>
        <w:t>tasa de crecimiento de los activos totales de las entidades del sector</w:t>
      </w:r>
      <w:r w:rsidR="002E2D5B">
        <w:rPr>
          <w:rFonts w:ascii="Arial" w:eastAsia="Arial" w:hAnsi="Arial" w:cs="Arial"/>
        </w:rPr>
        <w:t xml:space="preserve">, (según la información que suministre el grupo de analítica de datos) </w:t>
      </w:r>
      <w:r w:rsidR="002E2D5B" w:rsidRPr="0000680D">
        <w:rPr>
          <w:rFonts w:ascii="Arial" w:eastAsia="Arial" w:hAnsi="Arial" w:cs="Arial"/>
        </w:rPr>
        <w:t xml:space="preserve"> con un ajuste adicional del cinco por ciento (5%)</w:t>
      </w:r>
      <w:r w:rsidR="002E2D5B">
        <w:rPr>
          <w:rFonts w:ascii="Arial" w:eastAsia="Arial" w:hAnsi="Arial" w:cs="Arial"/>
        </w:rPr>
        <w:t>. Lo anterior de conformidad con lo establecido en el numeral 3 del artículo 38 de la Ley 454 de 1998.</w:t>
      </w:r>
    </w:p>
    <w:p w14:paraId="43D9E700" w14:textId="77777777" w:rsidR="00F005D6" w:rsidRDefault="0093618F">
      <w:pPr>
        <w:spacing w:after="0" w:line="240" w:lineRule="auto"/>
        <w:jc w:val="both"/>
        <w:rPr>
          <w:rFonts w:ascii="Arial" w:eastAsia="Arial" w:hAnsi="Arial" w:cs="Arial"/>
        </w:rPr>
      </w:pPr>
      <w:r>
        <w:rPr>
          <w:rFonts w:ascii="Arial" w:eastAsia="Arial" w:hAnsi="Arial" w:cs="Arial"/>
        </w:rPr>
        <w:t>De acuerdo con las anteriores instrucciones, se anexan las páginas objeto de modificación.</w:t>
      </w:r>
    </w:p>
    <w:p w14:paraId="197FBFBF" w14:textId="77777777" w:rsidR="00F005D6" w:rsidRDefault="00F005D6">
      <w:pPr>
        <w:spacing w:after="0" w:line="240" w:lineRule="auto"/>
        <w:jc w:val="both"/>
        <w:rPr>
          <w:rFonts w:ascii="Arial" w:eastAsia="Arial" w:hAnsi="Arial" w:cs="Arial"/>
        </w:rPr>
      </w:pPr>
    </w:p>
    <w:p w14:paraId="54EBC692" w14:textId="77777777" w:rsidR="00F005D6" w:rsidRDefault="0093618F">
      <w:r>
        <w:rPr>
          <w:rFonts w:ascii="Arial" w:eastAsia="Arial" w:hAnsi="Arial" w:cs="Arial"/>
        </w:rPr>
        <w:t>Cordialmente,</w:t>
      </w:r>
    </w:p>
    <w:p w14:paraId="3E79EA6E" w14:textId="77777777" w:rsidR="00B67140" w:rsidRDefault="00B67140"/>
    <w:p w14:paraId="094E9655" w14:textId="77777777" w:rsidR="00B67140" w:rsidRPr="00B67140" w:rsidRDefault="00B67140">
      <w:pPr>
        <w:rPr>
          <w:rFonts w:ascii="Arial" w:hAnsi="Arial" w:cs="Arial"/>
        </w:rPr>
      </w:pPr>
    </w:p>
    <w:p w14:paraId="3E907FEA" w14:textId="77777777" w:rsidR="00B67140" w:rsidRPr="00B67140" w:rsidRDefault="00B67140" w:rsidP="00B67140">
      <w:pPr>
        <w:spacing w:after="0"/>
        <w:rPr>
          <w:rFonts w:ascii="Arial" w:hAnsi="Arial" w:cs="Arial"/>
          <w:b/>
          <w:bCs/>
        </w:rPr>
      </w:pPr>
      <w:r w:rsidRPr="00B67140">
        <w:rPr>
          <w:rFonts w:ascii="Arial" w:hAnsi="Arial" w:cs="Arial"/>
          <w:b/>
          <w:bCs/>
        </w:rPr>
        <w:t>MARÍA JOSÉ NAVARRO MUÑOZ</w:t>
      </w:r>
    </w:p>
    <w:p w14:paraId="48880B99" w14:textId="77777777" w:rsidR="00B67140" w:rsidRPr="00B67140" w:rsidRDefault="00B67140" w:rsidP="00B67140">
      <w:pPr>
        <w:spacing w:after="0"/>
        <w:rPr>
          <w:rFonts w:ascii="Arial" w:hAnsi="Arial" w:cs="Arial"/>
        </w:rPr>
      </w:pPr>
      <w:r w:rsidRPr="00B67140">
        <w:rPr>
          <w:rFonts w:ascii="Arial" w:hAnsi="Arial" w:cs="Arial"/>
        </w:rPr>
        <w:t>Superintendenta</w:t>
      </w:r>
    </w:p>
    <w:p w14:paraId="21DE684F" w14:textId="4DB50989" w:rsidR="00B67140" w:rsidRPr="00D432CE" w:rsidRDefault="00B67140" w:rsidP="00B67140">
      <w:pPr>
        <w:spacing w:after="0" w:line="240" w:lineRule="auto"/>
        <w:rPr>
          <w:rFonts w:ascii="Arial" w:hAnsi="Arial" w:cs="Arial"/>
          <w:sz w:val="16"/>
          <w:szCs w:val="16"/>
        </w:rPr>
      </w:pPr>
      <w:r w:rsidRPr="00D432CE">
        <w:rPr>
          <w:rFonts w:ascii="Arial" w:hAnsi="Arial" w:cs="Arial"/>
          <w:sz w:val="16"/>
          <w:szCs w:val="16"/>
        </w:rPr>
        <w:t xml:space="preserve">Proyectó: Aydee Trujillo Baquero – Profesional Especializado - Secretaría General </w:t>
      </w:r>
    </w:p>
    <w:p w14:paraId="732B4E68" w14:textId="5093ECA6" w:rsidR="00F005D6" w:rsidRPr="00D432CE" w:rsidRDefault="00B67140" w:rsidP="00B67140">
      <w:pPr>
        <w:spacing w:after="0" w:line="240" w:lineRule="auto"/>
        <w:rPr>
          <w:rFonts w:ascii="Arial" w:hAnsi="Arial" w:cs="Arial"/>
          <w:sz w:val="16"/>
          <w:szCs w:val="16"/>
        </w:rPr>
      </w:pPr>
      <w:r w:rsidRPr="00D432CE">
        <w:rPr>
          <w:rFonts w:ascii="Arial" w:hAnsi="Arial" w:cs="Arial"/>
          <w:sz w:val="16"/>
          <w:szCs w:val="16"/>
        </w:rPr>
        <w:t>Revisó: Iveth Susana Ayala Rodríguez - Secretaría General / Angélica Zamora – Jefa Oficina Asesora de Planeación /</w:t>
      </w:r>
      <w:r w:rsidR="00D432CE" w:rsidRPr="00D83BD4">
        <w:rPr>
          <w:rFonts w:ascii="Arial" w:hAnsi="Arial" w:cs="Arial"/>
          <w:sz w:val="16"/>
          <w:szCs w:val="16"/>
        </w:rPr>
        <w:t>B</w:t>
      </w:r>
      <w:r w:rsidR="00D432CE" w:rsidRPr="00D432CE">
        <w:rPr>
          <w:rFonts w:ascii="Arial" w:hAnsi="Arial" w:cs="Arial"/>
          <w:sz w:val="16"/>
          <w:szCs w:val="16"/>
        </w:rPr>
        <w:t>eatriz Leonela Lizcano Castro – Jefa</w:t>
      </w:r>
      <w:r w:rsidR="00D432CE" w:rsidRPr="00D432CE">
        <w:rPr>
          <w:rFonts w:ascii="Arial" w:hAnsi="Arial" w:cs="Arial"/>
          <w:b/>
          <w:bCs/>
          <w:sz w:val="16"/>
          <w:szCs w:val="16"/>
        </w:rPr>
        <w:t xml:space="preserve"> </w:t>
      </w:r>
      <w:r w:rsidR="00D432CE" w:rsidRPr="00D432CE">
        <w:rPr>
          <w:rFonts w:ascii="Arial" w:hAnsi="Arial" w:cs="Arial"/>
          <w:sz w:val="16"/>
          <w:szCs w:val="16"/>
        </w:rPr>
        <w:t>Oficina Asesora Jurídica /</w:t>
      </w:r>
      <w:r w:rsidRPr="00D432CE">
        <w:rPr>
          <w:rFonts w:ascii="Arial" w:hAnsi="Arial" w:cs="Arial"/>
          <w:sz w:val="16"/>
          <w:szCs w:val="16"/>
        </w:rPr>
        <w:t xml:space="preserve">Diana Pola Salcedo Novoa – Delegada </w:t>
      </w:r>
      <w:r w:rsidRPr="00D432CE">
        <w:rPr>
          <w:rFonts w:ascii="Arial" w:hAnsi="Arial" w:cs="Arial"/>
          <w:sz w:val="16"/>
          <w:szCs w:val="16"/>
          <w:shd w:val="clear" w:color="auto" w:fill="FFFFFF"/>
        </w:rPr>
        <w:t xml:space="preserve">para la Supervisión </w:t>
      </w:r>
      <w:r w:rsidRPr="00D432CE">
        <w:rPr>
          <w:rFonts w:ascii="Arial" w:hAnsi="Arial" w:cs="Arial"/>
          <w:sz w:val="16"/>
          <w:szCs w:val="16"/>
          <w:shd w:val="clear" w:color="auto" w:fill="FFFFFF"/>
        </w:rPr>
        <w:lastRenderedPageBreak/>
        <w:t>Del Ahorro y la Forma Asociativa Solidaria</w:t>
      </w:r>
      <w:r w:rsidRPr="00D432CE">
        <w:rPr>
          <w:rFonts w:ascii="Arial" w:hAnsi="Arial" w:cs="Arial"/>
          <w:sz w:val="16"/>
          <w:szCs w:val="16"/>
        </w:rPr>
        <w:t xml:space="preserve"> / Bernardo Ortiz Posada – </w:t>
      </w:r>
      <w:r w:rsidR="00D432CE" w:rsidRPr="00D432CE">
        <w:rPr>
          <w:rFonts w:ascii="Arial" w:hAnsi="Arial" w:cs="Arial"/>
          <w:sz w:val="16"/>
          <w:szCs w:val="16"/>
        </w:rPr>
        <w:t xml:space="preserve">Delegado </w:t>
      </w:r>
      <w:r w:rsidR="00D432CE" w:rsidRPr="00D432CE">
        <w:rPr>
          <w:rFonts w:ascii="Arial" w:hAnsi="Arial" w:cs="Arial"/>
          <w:sz w:val="16"/>
          <w:szCs w:val="16"/>
          <w:shd w:val="clear" w:color="auto" w:fill="FFFFFF"/>
        </w:rPr>
        <w:t>para</w:t>
      </w:r>
      <w:r w:rsidRPr="00D432CE">
        <w:rPr>
          <w:rFonts w:ascii="Arial" w:hAnsi="Arial" w:cs="Arial"/>
          <w:sz w:val="16"/>
          <w:szCs w:val="16"/>
          <w:shd w:val="clear" w:color="auto" w:fill="FFFFFF"/>
        </w:rPr>
        <w:t xml:space="preserve"> la </w:t>
      </w:r>
      <w:r w:rsidR="00D432CE" w:rsidRPr="00D432CE">
        <w:rPr>
          <w:rFonts w:ascii="Arial" w:hAnsi="Arial" w:cs="Arial"/>
          <w:sz w:val="16"/>
          <w:szCs w:val="16"/>
          <w:shd w:val="clear" w:color="auto" w:fill="FFFFFF"/>
        </w:rPr>
        <w:t>Supervisión</w:t>
      </w:r>
      <w:r w:rsidRPr="00D432CE">
        <w:rPr>
          <w:rFonts w:ascii="Arial" w:hAnsi="Arial" w:cs="Arial"/>
          <w:sz w:val="16"/>
          <w:szCs w:val="16"/>
          <w:shd w:val="clear" w:color="auto" w:fill="FFFFFF"/>
        </w:rPr>
        <w:t xml:space="preserve"> de la Actividad Financiera en el Cooperativismo</w:t>
      </w:r>
      <w:r w:rsidR="00D432CE" w:rsidRPr="00D432CE">
        <w:rPr>
          <w:rFonts w:ascii="Arial" w:hAnsi="Arial" w:cs="Arial"/>
          <w:sz w:val="16"/>
          <w:szCs w:val="16"/>
          <w:shd w:val="clear" w:color="auto" w:fill="FFFFFF"/>
        </w:rPr>
        <w:t xml:space="preserve"> /</w:t>
      </w:r>
      <w:r w:rsidRPr="00D432CE">
        <w:rPr>
          <w:rFonts w:ascii="Arial" w:hAnsi="Arial" w:cs="Arial"/>
          <w:sz w:val="16"/>
          <w:szCs w:val="16"/>
        </w:rPr>
        <w:t xml:space="preserve"> Jhaniela Jiménez Gutiérrez – Asesora Jurídica Despacho. </w:t>
      </w:r>
    </w:p>
    <w:sectPr w:rsidR="00F005D6" w:rsidRPr="00D432CE">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B5F4" w14:textId="77777777" w:rsidR="004E6B66" w:rsidRDefault="004E6B66">
      <w:pPr>
        <w:spacing w:after="0" w:line="240" w:lineRule="auto"/>
      </w:pPr>
      <w:r>
        <w:separator/>
      </w:r>
    </w:p>
  </w:endnote>
  <w:endnote w:type="continuationSeparator" w:id="0">
    <w:p w14:paraId="1703F85C" w14:textId="77777777" w:rsidR="004E6B66" w:rsidRDefault="004E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63D5" w14:textId="77777777" w:rsidR="00F005D6" w:rsidRDefault="0093618F">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24"/>
        <w:szCs w:val="24"/>
      </w:rPr>
    </w:pPr>
    <w:r>
      <w:rPr>
        <w:rFonts w:ascii="Arial" w:eastAsia="Arial" w:hAnsi="Arial" w:cs="Arial"/>
        <w:i/>
        <w:noProof/>
        <w:color w:val="000000"/>
        <w:sz w:val="24"/>
        <w:szCs w:val="24"/>
      </w:rPr>
      <w:drawing>
        <wp:inline distT="0" distB="0" distL="0" distR="0" wp14:anchorId="04C37BFD" wp14:editId="5A785C32">
          <wp:extent cx="5612130" cy="1034068"/>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1034068"/>
                  </a:xfrm>
                  <a:prstGeom prst="rect">
                    <a:avLst/>
                  </a:prstGeom>
                  <a:ln/>
                </pic:spPr>
              </pic:pic>
            </a:graphicData>
          </a:graphic>
        </wp:inline>
      </w:drawing>
    </w:r>
  </w:p>
  <w:p w14:paraId="2EA3D758" w14:textId="77777777" w:rsidR="00F005D6" w:rsidRDefault="0093618F">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24"/>
        <w:szCs w:val="24"/>
      </w:rPr>
    </w:pPr>
    <w:r>
      <w:rPr>
        <w:noProof/>
      </w:rPr>
      <mc:AlternateContent>
        <mc:Choice Requires="wps">
          <w:drawing>
            <wp:anchor distT="0" distB="0" distL="114300" distR="114300" simplePos="0" relativeHeight="251658240" behindDoc="0" locked="0" layoutInCell="1" hidden="0" allowOverlap="1" wp14:anchorId="5675C859" wp14:editId="7F93E488">
              <wp:simplePos x="0" y="0"/>
              <wp:positionH relativeFrom="column">
                <wp:posOffset>889000</wp:posOffset>
              </wp:positionH>
              <wp:positionV relativeFrom="paragraph">
                <wp:posOffset>114300</wp:posOffset>
              </wp:positionV>
              <wp:extent cx="6107430" cy="693420"/>
              <wp:effectExtent l="0" t="0" r="0" b="0"/>
              <wp:wrapNone/>
              <wp:docPr id="13" name="Rectángulo 13"/>
              <wp:cNvGraphicFramePr/>
              <a:graphic xmlns:a="http://schemas.openxmlformats.org/drawingml/2006/main">
                <a:graphicData uri="http://schemas.microsoft.com/office/word/2010/wordprocessingShape">
                  <wps:wsp>
                    <wps:cNvSpPr/>
                    <wps:spPr>
                      <a:xfrm>
                        <a:off x="2297048" y="3438053"/>
                        <a:ext cx="6097905" cy="683895"/>
                      </a:xfrm>
                      <a:prstGeom prst="rect">
                        <a:avLst/>
                      </a:prstGeom>
                      <a:noFill/>
                      <a:ln>
                        <a:noFill/>
                      </a:ln>
                    </wps:spPr>
                    <wps:txbx>
                      <w:txbxContent>
                        <w:p w14:paraId="67B32C51" w14:textId="77777777" w:rsidR="00F005D6" w:rsidRDefault="00F005D6">
                          <w:pPr>
                            <w:spacing w:line="258" w:lineRule="auto"/>
                            <w:ind w:left="-3407" w:hanging="3407"/>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675C859" id="Rectángulo 13" o:spid="_x0000_s1026" style="position:absolute;margin-left:70pt;margin-top:9pt;width:480.9pt;height:5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" filled="f" stroked="f">
              <v:textbox inset="2.53958mm,1.2694mm,2.53958mm,1.2694mm">
                <w:txbxContent>
                  <w:p w14:paraId="67B32C51" w14:textId="77777777" w:rsidR="00F005D6" w:rsidRDefault="00F005D6">
                    <w:pPr>
                      <w:spacing w:line="258" w:lineRule="auto"/>
                      <w:ind w:left="-3407" w:hanging="3407"/>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8A2D" w14:textId="77777777" w:rsidR="004E6B66" w:rsidRDefault="004E6B66">
      <w:pPr>
        <w:spacing w:after="0" w:line="240" w:lineRule="auto"/>
      </w:pPr>
      <w:r>
        <w:separator/>
      </w:r>
    </w:p>
  </w:footnote>
  <w:footnote w:type="continuationSeparator" w:id="0">
    <w:p w14:paraId="51A6DF9A" w14:textId="77777777" w:rsidR="004E6B66" w:rsidRDefault="004E6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D6"/>
    <w:rsid w:val="0000680D"/>
    <w:rsid w:val="00187C88"/>
    <w:rsid w:val="001B3615"/>
    <w:rsid w:val="002E2D5B"/>
    <w:rsid w:val="004E6B66"/>
    <w:rsid w:val="006F5D35"/>
    <w:rsid w:val="0072142C"/>
    <w:rsid w:val="007F3989"/>
    <w:rsid w:val="008A09DE"/>
    <w:rsid w:val="009103B9"/>
    <w:rsid w:val="0093618F"/>
    <w:rsid w:val="00A93A1A"/>
    <w:rsid w:val="00B67140"/>
    <w:rsid w:val="00CC524D"/>
    <w:rsid w:val="00D432CE"/>
    <w:rsid w:val="00DE7C80"/>
    <w:rsid w:val="00F005D6"/>
    <w:rsid w:val="00F100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343C"/>
  <w15:docId w15:val="{2F8635D2-7F81-4325-8040-1496B1A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nhideWhenUsed/>
    <w:rsid w:val="00773D6C"/>
    <w:pPr>
      <w:tabs>
        <w:tab w:val="center" w:pos="4419"/>
        <w:tab w:val="right" w:pos="8838"/>
      </w:tabs>
      <w:suppressAutoHyphens/>
      <w:spacing w:after="0" w:line="240" w:lineRule="auto"/>
    </w:pPr>
    <w:rPr>
      <w:rFonts w:ascii="Arial" w:eastAsia="Times New Roman" w:hAnsi="Arial" w:cs="Arial"/>
      <w:i/>
      <w:sz w:val="24"/>
      <w:szCs w:val="24"/>
      <w:lang w:eastAsia="ar-SA"/>
    </w:rPr>
  </w:style>
  <w:style w:type="character" w:customStyle="1" w:styleId="PiedepginaCar">
    <w:name w:val="Pie de página Car"/>
    <w:basedOn w:val="Fuentedeprrafopredeter"/>
    <w:link w:val="Piedepgina"/>
    <w:rsid w:val="00773D6C"/>
    <w:rPr>
      <w:rFonts w:ascii="Arial" w:eastAsia="Times New Roman" w:hAnsi="Arial" w:cs="Arial"/>
      <w:i/>
      <w:sz w:val="24"/>
      <w:szCs w:val="24"/>
      <w:lang w:eastAsia="ar-SA"/>
    </w:rPr>
  </w:style>
  <w:style w:type="character" w:styleId="Refdecomentario">
    <w:name w:val="annotation reference"/>
    <w:basedOn w:val="Fuentedeprrafopredeter"/>
    <w:uiPriority w:val="99"/>
    <w:semiHidden/>
    <w:unhideWhenUsed/>
    <w:rsid w:val="00773D6C"/>
    <w:rPr>
      <w:sz w:val="16"/>
      <w:szCs w:val="16"/>
    </w:rPr>
  </w:style>
  <w:style w:type="paragraph" w:styleId="Textocomentario">
    <w:name w:val="annotation text"/>
    <w:basedOn w:val="Normal"/>
    <w:link w:val="TextocomentarioCar"/>
    <w:uiPriority w:val="99"/>
    <w:unhideWhenUsed/>
    <w:rsid w:val="00773D6C"/>
    <w:pPr>
      <w:suppressAutoHyphens/>
      <w:spacing w:after="0" w:line="240" w:lineRule="auto"/>
    </w:pPr>
    <w:rPr>
      <w:rFonts w:ascii="Arial" w:eastAsia="Times New Roman" w:hAnsi="Arial" w:cs="Arial"/>
      <w:i/>
      <w:sz w:val="20"/>
      <w:szCs w:val="20"/>
      <w:lang w:eastAsia="ar-SA"/>
    </w:rPr>
  </w:style>
  <w:style w:type="character" w:customStyle="1" w:styleId="TextocomentarioCar">
    <w:name w:val="Texto comentario Car"/>
    <w:basedOn w:val="Fuentedeprrafopredeter"/>
    <w:link w:val="Textocomentario"/>
    <w:uiPriority w:val="99"/>
    <w:rsid w:val="00773D6C"/>
    <w:rPr>
      <w:rFonts w:ascii="Arial" w:eastAsia="Times New Roman" w:hAnsi="Arial" w:cs="Arial"/>
      <w:i/>
      <w:sz w:val="20"/>
      <w:szCs w:val="20"/>
      <w:lang w:eastAsia="ar-SA"/>
    </w:rPr>
  </w:style>
  <w:style w:type="paragraph" w:styleId="Textodeglobo">
    <w:name w:val="Balloon Text"/>
    <w:basedOn w:val="Normal"/>
    <w:link w:val="TextodegloboCar"/>
    <w:uiPriority w:val="99"/>
    <w:semiHidden/>
    <w:unhideWhenUsed/>
    <w:rsid w:val="00773D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D6C"/>
    <w:rPr>
      <w:rFonts w:ascii="Segoe UI" w:hAnsi="Segoe UI" w:cs="Segoe UI"/>
      <w:sz w:val="18"/>
      <w:szCs w:val="18"/>
    </w:rPr>
  </w:style>
  <w:style w:type="paragraph" w:styleId="Revisin">
    <w:name w:val="Revision"/>
    <w:hidden/>
    <w:uiPriority w:val="99"/>
    <w:semiHidden/>
    <w:rsid w:val="00CE1C70"/>
    <w:pPr>
      <w:spacing w:after="0" w:line="240" w:lineRule="auto"/>
    </w:pPr>
  </w:style>
  <w:style w:type="paragraph" w:styleId="Encabezado">
    <w:name w:val="header"/>
    <w:basedOn w:val="Normal"/>
    <w:link w:val="EncabezadoCar"/>
    <w:uiPriority w:val="99"/>
    <w:unhideWhenUsed/>
    <w:rsid w:val="00961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F0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Asuntodelcomentario">
    <w:name w:val="annotation subject"/>
    <w:basedOn w:val="Textocomentario"/>
    <w:next w:val="Textocomentario"/>
    <w:link w:val="AsuntodelcomentarioCar"/>
    <w:uiPriority w:val="99"/>
    <w:semiHidden/>
    <w:unhideWhenUsed/>
    <w:rsid w:val="00DE7C80"/>
    <w:pPr>
      <w:suppressAutoHyphens w:val="0"/>
      <w:spacing w:after="160"/>
    </w:pPr>
    <w:rPr>
      <w:rFonts w:ascii="Calibri" w:eastAsia="Calibri" w:hAnsi="Calibri" w:cs="Calibri"/>
      <w:b/>
      <w:bCs/>
      <w:i w:val="0"/>
      <w:lang w:eastAsia="es-CO"/>
    </w:rPr>
  </w:style>
  <w:style w:type="character" w:customStyle="1" w:styleId="AsuntodelcomentarioCar">
    <w:name w:val="Asunto del comentario Car"/>
    <w:basedOn w:val="TextocomentarioCar"/>
    <w:link w:val="Asuntodelcomentario"/>
    <w:uiPriority w:val="99"/>
    <w:semiHidden/>
    <w:rsid w:val="00DE7C80"/>
    <w:rPr>
      <w:rFonts w:ascii="Arial" w:eastAsia="Times New Roman" w:hAnsi="Arial" w:cs="Arial"/>
      <w:b/>
      <w:bCs/>
      <w:i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fYogI21BMJ1DSBtSeL7bvf1ig==">CgMxLjAyCGguZ2pkZ3hzMgppZC4zMGowemxsMgppZC4xZm9iOXRlOAByITFQVUFJMkJIeWJiam5EWkNPZ0UteGFkQmJFT1RkNUE0Mw==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López Castillo</dc:creator>
  <cp:lastModifiedBy>Iveth Susana Ayala Rodriguez</cp:lastModifiedBy>
  <cp:revision>2</cp:revision>
  <dcterms:created xsi:type="dcterms:W3CDTF">2024-03-21T23:05:00Z</dcterms:created>
  <dcterms:modified xsi:type="dcterms:W3CDTF">2024-03-21T23:05:00Z</dcterms:modified>
</cp:coreProperties>
</file>