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D0478" w14:textId="77777777" w:rsidR="00F005D6" w:rsidRDefault="0093618F">
      <w:pPr>
        <w:spacing w:after="0" w:line="240" w:lineRule="auto"/>
        <w:rPr>
          <w:rFonts w:ascii="Arial" w:eastAsia="Arial" w:hAnsi="Arial" w:cs="Arial"/>
          <w:sz w:val="24"/>
          <w:szCs w:val="24"/>
        </w:rPr>
      </w:pPr>
      <w:bookmarkStart w:id="0" w:name="_heading=h.gjdgxs" w:colFirst="0" w:colLast="0"/>
      <w:bookmarkEnd w:id="0"/>
      <w:r>
        <w:rPr>
          <w:noProof/>
        </w:rPr>
        <w:drawing>
          <wp:inline distT="0" distB="0" distL="0" distR="0" wp14:anchorId="5F6BE6BD" wp14:editId="497FBD59">
            <wp:extent cx="6934438" cy="1457918"/>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6934438" cy="1457918"/>
                    </a:xfrm>
                    <a:prstGeom prst="rect">
                      <a:avLst/>
                    </a:prstGeom>
                    <a:ln/>
                  </pic:spPr>
                </pic:pic>
              </a:graphicData>
            </a:graphic>
          </wp:inline>
        </w:drawing>
      </w:r>
    </w:p>
    <w:p w14:paraId="7BB1416A" w14:textId="77777777" w:rsidR="00F005D6" w:rsidRPr="007F3989" w:rsidRDefault="00F005D6">
      <w:pPr>
        <w:keepNext/>
        <w:spacing w:after="0" w:line="240" w:lineRule="auto"/>
        <w:rPr>
          <w:rFonts w:ascii="Arial" w:eastAsia="Arial" w:hAnsi="Arial" w:cs="Arial"/>
          <w:b/>
        </w:rPr>
      </w:pPr>
    </w:p>
    <w:p w14:paraId="5A2766D5" w14:textId="77777777" w:rsidR="00F005D6" w:rsidRPr="007F3989" w:rsidRDefault="0093618F">
      <w:pPr>
        <w:keepNext/>
        <w:spacing w:after="0" w:line="240" w:lineRule="auto"/>
        <w:jc w:val="center"/>
        <w:rPr>
          <w:rFonts w:ascii="Arial" w:eastAsia="Arial" w:hAnsi="Arial" w:cs="Arial"/>
          <w:b/>
        </w:rPr>
      </w:pPr>
      <w:r w:rsidRPr="007F3989">
        <w:rPr>
          <w:rFonts w:ascii="Arial" w:eastAsia="Arial" w:hAnsi="Arial" w:cs="Arial"/>
          <w:b/>
        </w:rPr>
        <w:t xml:space="preserve">CIRCULAR EXTERNA No.  </w:t>
      </w:r>
      <w:bookmarkStart w:id="1" w:name="bookmark=id.30j0zll" w:colFirst="0" w:colLast="0"/>
      <w:bookmarkEnd w:id="1"/>
      <w:r w:rsidRPr="007F3989">
        <w:rPr>
          <w:rFonts w:ascii="Arial" w:eastAsia="Arial" w:hAnsi="Arial" w:cs="Arial"/>
          <w:b/>
        </w:rPr>
        <w:t xml:space="preserve">  </w:t>
      </w:r>
    </w:p>
    <w:p w14:paraId="34A0E5CD" w14:textId="77777777" w:rsidR="00F005D6" w:rsidRPr="007F3989" w:rsidRDefault="00F005D6">
      <w:pPr>
        <w:spacing w:after="0" w:line="240" w:lineRule="auto"/>
        <w:rPr>
          <w:rFonts w:ascii="Arial" w:eastAsia="Arial" w:hAnsi="Arial" w:cs="Arial"/>
          <w:b/>
        </w:rPr>
      </w:pPr>
    </w:p>
    <w:p w14:paraId="1B9CBCF2" w14:textId="77777777" w:rsidR="00F005D6" w:rsidRPr="007F3989" w:rsidRDefault="00F005D6">
      <w:pPr>
        <w:spacing w:after="0" w:line="240" w:lineRule="auto"/>
        <w:rPr>
          <w:rFonts w:ascii="Arial" w:eastAsia="Arial" w:hAnsi="Arial" w:cs="Arial"/>
          <w:b/>
        </w:rPr>
      </w:pPr>
    </w:p>
    <w:tbl>
      <w:tblPr>
        <w:tblStyle w:val="a"/>
        <w:tblW w:w="8838" w:type="dxa"/>
        <w:tblInd w:w="0" w:type="dxa"/>
        <w:tblLayout w:type="fixed"/>
        <w:tblLook w:val="0000" w:firstRow="0" w:lastRow="0" w:firstColumn="0" w:lastColumn="0" w:noHBand="0" w:noVBand="0"/>
      </w:tblPr>
      <w:tblGrid>
        <w:gridCol w:w="1502"/>
        <w:gridCol w:w="7336"/>
      </w:tblGrid>
      <w:tr w:rsidR="00F005D6" w:rsidRPr="007F3989" w14:paraId="1C7D70B9" w14:textId="77777777">
        <w:tc>
          <w:tcPr>
            <w:tcW w:w="1502" w:type="dxa"/>
          </w:tcPr>
          <w:p w14:paraId="670950BA"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PARA:</w:t>
            </w:r>
          </w:p>
        </w:tc>
        <w:tc>
          <w:tcPr>
            <w:tcW w:w="7336" w:type="dxa"/>
          </w:tcPr>
          <w:p w14:paraId="6B6ACDFA"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ORGANIZACIONES SUJETAS A LA SUPERVISIÓN DE LA SUPERINTENDENCIA DE LA ECONOMÍA SOLIDARIA. </w:t>
            </w:r>
          </w:p>
          <w:p w14:paraId="7B6CEAED" w14:textId="77777777" w:rsidR="00F005D6" w:rsidRPr="007F3989" w:rsidRDefault="00F005D6">
            <w:pPr>
              <w:spacing w:after="0" w:line="240" w:lineRule="auto"/>
              <w:jc w:val="both"/>
              <w:rPr>
                <w:rFonts w:ascii="Arial" w:eastAsia="Arial" w:hAnsi="Arial" w:cs="Arial"/>
              </w:rPr>
            </w:pPr>
          </w:p>
        </w:tc>
      </w:tr>
      <w:tr w:rsidR="00F005D6" w:rsidRPr="007F3989" w14:paraId="551D689A" w14:textId="77777777">
        <w:tc>
          <w:tcPr>
            <w:tcW w:w="1502" w:type="dxa"/>
          </w:tcPr>
          <w:p w14:paraId="135A2EF8"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DE:</w:t>
            </w:r>
          </w:p>
        </w:tc>
        <w:tc>
          <w:tcPr>
            <w:tcW w:w="7336" w:type="dxa"/>
          </w:tcPr>
          <w:p w14:paraId="05C897B2"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MARÍA JOSÉ NAVARRO MUÑOZ </w:t>
            </w:r>
          </w:p>
          <w:p w14:paraId="7B703298" w14:textId="77777777" w:rsidR="00F005D6" w:rsidRPr="007F3989" w:rsidRDefault="0093618F">
            <w:pPr>
              <w:spacing w:after="0" w:line="240" w:lineRule="auto"/>
              <w:jc w:val="both"/>
              <w:rPr>
                <w:rFonts w:ascii="Arial" w:eastAsia="Arial" w:hAnsi="Arial" w:cs="Arial"/>
              </w:rPr>
            </w:pPr>
            <w:r w:rsidRPr="007F3989">
              <w:rPr>
                <w:rFonts w:ascii="Arial" w:eastAsia="Arial" w:hAnsi="Arial" w:cs="Arial"/>
              </w:rPr>
              <w:t xml:space="preserve">SUPERINTENDENTA DE LA ECONOMÍA SOLIDARIA </w:t>
            </w:r>
          </w:p>
          <w:p w14:paraId="1A51F47F" w14:textId="77777777" w:rsidR="00F005D6" w:rsidRPr="007F3989" w:rsidRDefault="00F005D6">
            <w:pPr>
              <w:spacing w:after="0" w:line="240" w:lineRule="auto"/>
              <w:rPr>
                <w:rFonts w:ascii="Arial" w:eastAsia="Arial" w:hAnsi="Arial" w:cs="Arial"/>
                <w:b/>
              </w:rPr>
            </w:pPr>
          </w:p>
        </w:tc>
      </w:tr>
      <w:tr w:rsidR="00F005D6" w:rsidRPr="007F3989" w14:paraId="044C7D28" w14:textId="77777777">
        <w:tc>
          <w:tcPr>
            <w:tcW w:w="1502" w:type="dxa"/>
          </w:tcPr>
          <w:p w14:paraId="6442CC30"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ASUNTO:</w:t>
            </w:r>
          </w:p>
        </w:tc>
        <w:tc>
          <w:tcPr>
            <w:tcW w:w="7336" w:type="dxa"/>
          </w:tcPr>
          <w:p w14:paraId="71A02B05" w14:textId="4119ACCB" w:rsidR="00F005D6" w:rsidRPr="007F3989" w:rsidRDefault="0093618F">
            <w:pPr>
              <w:spacing w:after="0" w:line="240" w:lineRule="auto"/>
              <w:jc w:val="both"/>
              <w:rPr>
                <w:rFonts w:ascii="Arial" w:eastAsia="Arial" w:hAnsi="Arial" w:cs="Arial"/>
              </w:rPr>
            </w:pPr>
            <w:r w:rsidRPr="007F3989">
              <w:rPr>
                <w:rFonts w:ascii="Arial" w:eastAsia="Arial" w:hAnsi="Arial" w:cs="Arial"/>
              </w:rPr>
              <w:t>MODIFICACIÓN</w:t>
            </w:r>
            <w:r w:rsidR="001B3615" w:rsidRPr="007F3989">
              <w:rPr>
                <w:rFonts w:ascii="Arial" w:eastAsia="Arial" w:hAnsi="Arial" w:cs="Arial"/>
              </w:rPr>
              <w:t xml:space="preserve"> </w:t>
            </w:r>
            <w:r w:rsidRPr="007F3989">
              <w:rPr>
                <w:rFonts w:ascii="Arial" w:eastAsia="Arial" w:hAnsi="Arial" w:cs="Arial"/>
              </w:rPr>
              <w:t xml:space="preserve">DEL NUMERAL </w:t>
            </w:r>
            <w:r w:rsidR="001F2614">
              <w:rPr>
                <w:rFonts w:ascii="Arial" w:eastAsia="Arial" w:hAnsi="Arial" w:cs="Arial"/>
              </w:rPr>
              <w:t>2.1</w:t>
            </w:r>
            <w:r w:rsidRPr="007F3989">
              <w:rPr>
                <w:rFonts w:ascii="Arial" w:eastAsia="Arial" w:hAnsi="Arial" w:cs="Arial"/>
              </w:rPr>
              <w:t xml:space="preserve"> DEL CAPÍTULO </w:t>
            </w:r>
            <w:r w:rsidR="001F2614">
              <w:rPr>
                <w:rFonts w:ascii="Arial" w:eastAsia="Arial" w:hAnsi="Arial" w:cs="Arial"/>
              </w:rPr>
              <w:t>VI</w:t>
            </w:r>
            <w:r w:rsidRPr="007F3989">
              <w:rPr>
                <w:rFonts w:ascii="Arial" w:eastAsia="Arial" w:hAnsi="Arial" w:cs="Arial"/>
              </w:rPr>
              <w:t xml:space="preserve"> DEL TÍTULO IV DE LA CIRCULAR BÁSICA JURÍDICA.</w:t>
            </w:r>
          </w:p>
          <w:p w14:paraId="289F5A00" w14:textId="77777777" w:rsidR="00F005D6" w:rsidRPr="007F3989" w:rsidRDefault="00F005D6">
            <w:pPr>
              <w:spacing w:after="0" w:line="240" w:lineRule="auto"/>
              <w:jc w:val="both"/>
              <w:rPr>
                <w:rFonts w:ascii="Arial" w:eastAsia="Arial" w:hAnsi="Arial" w:cs="Arial"/>
              </w:rPr>
            </w:pPr>
          </w:p>
        </w:tc>
      </w:tr>
      <w:tr w:rsidR="00F005D6" w:rsidRPr="007F3989" w14:paraId="08B38710" w14:textId="77777777">
        <w:tc>
          <w:tcPr>
            <w:tcW w:w="1502" w:type="dxa"/>
          </w:tcPr>
          <w:p w14:paraId="056A2221" w14:textId="77777777" w:rsidR="00F005D6" w:rsidRPr="007F3989" w:rsidRDefault="0093618F">
            <w:pPr>
              <w:spacing w:after="0" w:line="240" w:lineRule="auto"/>
              <w:rPr>
                <w:rFonts w:ascii="Arial" w:eastAsia="Arial" w:hAnsi="Arial" w:cs="Arial"/>
                <w:b/>
              </w:rPr>
            </w:pPr>
            <w:r w:rsidRPr="007F3989">
              <w:rPr>
                <w:rFonts w:ascii="Arial" w:eastAsia="Arial" w:hAnsi="Arial" w:cs="Arial"/>
                <w:b/>
              </w:rPr>
              <w:t>FECHA:</w:t>
            </w:r>
          </w:p>
        </w:tc>
        <w:tc>
          <w:tcPr>
            <w:tcW w:w="7336" w:type="dxa"/>
          </w:tcPr>
          <w:p w14:paraId="53AC011D" w14:textId="77777777" w:rsidR="00F005D6" w:rsidRPr="007F3989" w:rsidRDefault="0093618F">
            <w:pPr>
              <w:spacing w:after="0" w:line="240" w:lineRule="auto"/>
              <w:rPr>
                <w:rFonts w:ascii="Arial" w:eastAsia="Arial" w:hAnsi="Arial" w:cs="Arial"/>
              </w:rPr>
            </w:pPr>
            <w:r w:rsidRPr="007F3989">
              <w:rPr>
                <w:rFonts w:ascii="Arial" w:eastAsia="Arial" w:hAnsi="Arial" w:cs="Arial"/>
              </w:rPr>
              <w:t xml:space="preserve">Bogotá D.C., </w:t>
            </w:r>
            <w:bookmarkStart w:id="2" w:name="bookmark=id.1fob9te" w:colFirst="0" w:colLast="0"/>
            <w:bookmarkEnd w:id="2"/>
            <w:r w:rsidRPr="007F3989">
              <w:rPr>
                <w:rFonts w:ascii="Arial" w:eastAsia="Arial" w:hAnsi="Arial" w:cs="Arial"/>
              </w:rPr>
              <w:t xml:space="preserve">  </w:t>
            </w:r>
          </w:p>
        </w:tc>
      </w:tr>
    </w:tbl>
    <w:p w14:paraId="43C21563" w14:textId="77777777" w:rsidR="00F005D6" w:rsidRDefault="0093618F">
      <w:pPr>
        <w:spacing w:after="0" w:line="240" w:lineRule="auto"/>
        <w:rPr>
          <w:rFonts w:ascii="Arial" w:eastAsia="Arial" w:hAnsi="Arial" w:cs="Arial"/>
          <w:b/>
        </w:rPr>
      </w:pPr>
      <w:r>
        <w:rPr>
          <w:noProof/>
        </w:rPr>
        <mc:AlternateContent>
          <mc:Choice Requires="wps">
            <w:drawing>
              <wp:anchor distT="0" distB="0" distL="114300" distR="114300" simplePos="0" relativeHeight="251658240" behindDoc="0" locked="0" layoutInCell="1" hidden="0" allowOverlap="1" wp14:anchorId="448FCD42" wp14:editId="5BC23338">
                <wp:simplePos x="0" y="0"/>
                <wp:positionH relativeFrom="column">
                  <wp:posOffset>12701</wp:posOffset>
                </wp:positionH>
                <wp:positionV relativeFrom="paragraph">
                  <wp:posOffset>38100</wp:posOffset>
                </wp:positionV>
                <wp:extent cx="0" cy="57150"/>
                <wp:effectExtent l="0" t="0" r="0" b="0"/>
                <wp:wrapTopAndBottom distT="0" distB="0"/>
                <wp:docPr id="14" name="Conector recto de flecha 14"/>
                <wp:cNvGraphicFramePr/>
                <a:graphic xmlns:a="http://schemas.openxmlformats.org/drawingml/2006/main">
                  <a:graphicData uri="http://schemas.microsoft.com/office/word/2010/wordprocessingShape">
                    <wps:wsp>
                      <wps:cNvCnPr/>
                      <wps:spPr>
                        <a:xfrm>
                          <a:off x="2526600" y="3780000"/>
                          <a:ext cx="5638800" cy="0"/>
                        </a:xfrm>
                        <a:prstGeom prst="straightConnector1">
                          <a:avLst/>
                        </a:prstGeom>
                        <a:noFill/>
                        <a:ln w="57150" cap="flat" cmpd="thinThick">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16A291" id="_x0000_t32" coordsize="21600,21600" o:spt="32" o:oned="t" path="m,l21600,21600e" filled="f">
                <v:path arrowok="t" fillok="f" o:connecttype="none"/>
                <o:lock v:ext="edit" shapetype="t"/>
              </v:shapetype>
              <v:shape id="Conector recto de flecha 14" o:spid="_x0000_s1026" type="#_x0000_t32" style="position:absolute;margin-left:1pt;margin-top:3pt;width:0;height: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" strokeweight="4.5pt">
                <v:stroke linestyle="thinThick"/>
                <w10:wrap type="topAndBottom"/>
              </v:shape>
            </w:pict>
          </mc:Fallback>
        </mc:AlternateContent>
      </w:r>
    </w:p>
    <w:p w14:paraId="07BB41F9" w14:textId="77777777" w:rsidR="00F005D6" w:rsidRDefault="0093618F">
      <w:pPr>
        <w:tabs>
          <w:tab w:val="center" w:pos="4252"/>
          <w:tab w:val="right" w:pos="8504"/>
        </w:tabs>
        <w:spacing w:after="0" w:line="240" w:lineRule="auto"/>
        <w:jc w:val="both"/>
        <w:rPr>
          <w:rFonts w:ascii="Arial" w:eastAsia="Arial" w:hAnsi="Arial" w:cs="Arial"/>
        </w:rPr>
      </w:pPr>
      <w:r>
        <w:rPr>
          <w:rFonts w:ascii="Arial" w:eastAsia="Arial" w:hAnsi="Arial" w:cs="Arial"/>
        </w:rPr>
        <w:t>Dentro de las facultades de la Superintendencia de la Economía Solidaria, previstas en el artículo 36 de la Ley 454 de 1998, se encuentra la señalada en el numeral 22 que prevé: “</w:t>
      </w:r>
      <w:r>
        <w:rPr>
          <w:rFonts w:ascii="Arial" w:eastAsia="Arial" w:hAnsi="Arial" w:cs="Arial"/>
          <w:i/>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35DE9A1E" w14:textId="77777777" w:rsidR="00F005D6" w:rsidRDefault="00F005D6">
      <w:pPr>
        <w:tabs>
          <w:tab w:val="center" w:pos="4252"/>
          <w:tab w:val="right" w:pos="8504"/>
        </w:tabs>
        <w:spacing w:after="0" w:line="240" w:lineRule="auto"/>
        <w:jc w:val="both"/>
        <w:rPr>
          <w:rFonts w:ascii="Arial" w:eastAsia="Arial" w:hAnsi="Arial" w:cs="Arial"/>
        </w:rPr>
      </w:pPr>
    </w:p>
    <w:p w14:paraId="3423EBB3" w14:textId="5302983E" w:rsidR="001F2614" w:rsidRDefault="0093618F">
      <w:pPr>
        <w:tabs>
          <w:tab w:val="center" w:pos="4252"/>
          <w:tab w:val="right" w:pos="8504"/>
        </w:tabs>
        <w:spacing w:after="0" w:line="240" w:lineRule="auto"/>
        <w:jc w:val="both"/>
        <w:rPr>
          <w:rFonts w:ascii="Arial" w:eastAsia="Arial" w:hAnsi="Arial" w:cs="Arial"/>
        </w:rPr>
      </w:pPr>
      <w:r>
        <w:rPr>
          <w:rFonts w:ascii="Arial" w:eastAsia="Arial" w:hAnsi="Arial" w:cs="Arial"/>
        </w:rPr>
        <w:t xml:space="preserve">Mediante la Circular Básica Jurídica, expedida a través de la Circular Externa 20 del 18 de diciembre de 2020, </w:t>
      </w:r>
      <w:r>
        <w:rPr>
          <w:rFonts w:ascii="Arial" w:eastAsia="Arial" w:hAnsi="Arial" w:cs="Arial"/>
          <w:highlight w:val="white"/>
        </w:rPr>
        <w:t>que entró en vigencia con la publicación en Diario Oficial No. 51.571 del 28 de enero de 2021</w:t>
      </w:r>
      <w:r>
        <w:rPr>
          <w:rFonts w:ascii="Arial" w:eastAsia="Arial" w:hAnsi="Arial" w:cs="Arial"/>
        </w:rPr>
        <w:t xml:space="preserve"> y modificada por la Circular Externa 31 del 28 de abril de 2021, por medio de la cual se corrigieron unos errores formales; se estableció en el numeral </w:t>
      </w:r>
      <w:r w:rsidR="001F2614">
        <w:rPr>
          <w:rFonts w:ascii="Arial" w:eastAsia="Arial" w:hAnsi="Arial" w:cs="Arial"/>
        </w:rPr>
        <w:t>2.1</w:t>
      </w:r>
      <w:r>
        <w:rPr>
          <w:rFonts w:ascii="Arial" w:eastAsia="Arial" w:hAnsi="Arial" w:cs="Arial"/>
        </w:rPr>
        <w:t xml:space="preserve"> del </w:t>
      </w:r>
      <w:r w:rsidR="001F2614">
        <w:rPr>
          <w:rFonts w:ascii="Arial" w:eastAsia="Arial" w:hAnsi="Arial" w:cs="Arial"/>
        </w:rPr>
        <w:t>C</w:t>
      </w:r>
      <w:r>
        <w:rPr>
          <w:rFonts w:ascii="Arial" w:eastAsia="Arial" w:hAnsi="Arial" w:cs="Arial"/>
        </w:rPr>
        <w:t xml:space="preserve">apítulo </w:t>
      </w:r>
      <w:r w:rsidR="001F2614">
        <w:rPr>
          <w:rFonts w:ascii="Arial" w:eastAsia="Arial" w:hAnsi="Arial" w:cs="Arial"/>
        </w:rPr>
        <w:t>VI</w:t>
      </w:r>
      <w:r>
        <w:rPr>
          <w:rFonts w:ascii="Arial" w:eastAsia="Arial" w:hAnsi="Arial" w:cs="Arial"/>
        </w:rPr>
        <w:t xml:space="preserve">, </w:t>
      </w:r>
      <w:r w:rsidR="001F2614">
        <w:rPr>
          <w:rFonts w:ascii="Arial" w:eastAsia="Arial" w:hAnsi="Arial" w:cs="Arial"/>
        </w:rPr>
        <w:t>T</w:t>
      </w:r>
      <w:r>
        <w:rPr>
          <w:rFonts w:ascii="Arial" w:eastAsia="Arial" w:hAnsi="Arial" w:cs="Arial"/>
        </w:rPr>
        <w:t>ítulo IV la regulación relacionada con</w:t>
      </w:r>
      <w:r w:rsidR="001F2614">
        <w:rPr>
          <w:rFonts w:ascii="Arial" w:eastAsia="Arial" w:hAnsi="Arial" w:cs="Arial"/>
        </w:rPr>
        <w:t xml:space="preserve"> el proceso de autorización de fusión y los requisitos documentales exigibles por parte de la Superintendencia para evaluar las condiciones, operativas, administrativas, jurídicas y financieras de la operación. </w:t>
      </w:r>
      <w:r>
        <w:rPr>
          <w:rFonts w:ascii="Arial" w:eastAsia="Arial" w:hAnsi="Arial" w:cs="Arial"/>
        </w:rPr>
        <w:t xml:space="preserve"> </w:t>
      </w:r>
    </w:p>
    <w:p w14:paraId="5CE8345B" w14:textId="77777777" w:rsidR="001F2614" w:rsidRDefault="001F2614">
      <w:pPr>
        <w:tabs>
          <w:tab w:val="center" w:pos="4252"/>
          <w:tab w:val="right" w:pos="8504"/>
        </w:tabs>
        <w:spacing w:after="0" w:line="240" w:lineRule="auto"/>
        <w:jc w:val="both"/>
        <w:rPr>
          <w:rFonts w:ascii="Arial" w:eastAsia="Arial" w:hAnsi="Arial" w:cs="Arial"/>
        </w:rPr>
      </w:pPr>
    </w:p>
    <w:p w14:paraId="612E9D75" w14:textId="2DB984BB" w:rsidR="00F005D6" w:rsidRDefault="0093618F">
      <w:pPr>
        <w:tabs>
          <w:tab w:val="center" w:pos="4252"/>
          <w:tab w:val="right" w:pos="8504"/>
        </w:tabs>
        <w:spacing w:after="0" w:line="240" w:lineRule="auto"/>
        <w:jc w:val="both"/>
        <w:rPr>
          <w:rFonts w:ascii="Arial" w:eastAsia="Arial" w:hAnsi="Arial" w:cs="Arial"/>
        </w:rPr>
      </w:pPr>
      <w:r w:rsidRPr="0000680D">
        <w:rPr>
          <w:rFonts w:ascii="Arial" w:eastAsia="Arial" w:hAnsi="Arial" w:cs="Arial"/>
        </w:rPr>
        <w:t>Que de acuerdo con la precitada Circular Básica Jurídica</w:t>
      </w:r>
      <w:r w:rsidR="001F2614">
        <w:rPr>
          <w:rFonts w:ascii="Arial" w:eastAsia="Arial" w:hAnsi="Arial" w:cs="Arial"/>
        </w:rPr>
        <w:t>,</w:t>
      </w:r>
      <w:r w:rsidR="00B53B84">
        <w:rPr>
          <w:rFonts w:ascii="Arial" w:eastAsia="Arial" w:hAnsi="Arial" w:cs="Arial"/>
        </w:rPr>
        <w:t xml:space="preserve"> </w:t>
      </w:r>
      <w:r w:rsidR="00DB19F4">
        <w:rPr>
          <w:rFonts w:ascii="Arial" w:eastAsia="Arial" w:hAnsi="Arial" w:cs="Arial"/>
        </w:rPr>
        <w:t>actualmente</w:t>
      </w:r>
      <w:r w:rsidR="001F2614">
        <w:rPr>
          <w:rFonts w:ascii="Arial" w:eastAsia="Arial" w:hAnsi="Arial" w:cs="Arial"/>
        </w:rPr>
        <w:t xml:space="preserve"> la organización solidaria allega una información que refleja su estado de situación actual, pero </w:t>
      </w:r>
      <w:r w:rsidR="00F14D60">
        <w:rPr>
          <w:rFonts w:ascii="Arial" w:eastAsia="Arial" w:hAnsi="Arial" w:cs="Arial"/>
        </w:rPr>
        <w:t xml:space="preserve">esta Superintendencia </w:t>
      </w:r>
      <w:r w:rsidR="001F2614">
        <w:rPr>
          <w:rFonts w:ascii="Arial" w:eastAsia="Arial" w:hAnsi="Arial" w:cs="Arial"/>
        </w:rPr>
        <w:t xml:space="preserve"> </w:t>
      </w:r>
      <w:r w:rsidR="00F14D60">
        <w:rPr>
          <w:rFonts w:ascii="Arial" w:eastAsia="Arial" w:hAnsi="Arial" w:cs="Arial"/>
        </w:rPr>
        <w:t>observa la necesidad,  en el marco de la m</w:t>
      </w:r>
      <w:r w:rsidR="00503FAB">
        <w:rPr>
          <w:rFonts w:ascii="Arial" w:eastAsia="Arial" w:hAnsi="Arial" w:cs="Arial"/>
        </w:rPr>
        <w:t>atriz informativa</w:t>
      </w:r>
      <w:r w:rsidR="00F14D60">
        <w:rPr>
          <w:rFonts w:ascii="Arial" w:eastAsia="Arial" w:hAnsi="Arial" w:cs="Arial"/>
        </w:rPr>
        <w:t xml:space="preserve"> de análisis implementada de manera previa para la adopción de la decisión administrativa, en relación con la autorización de fusión solicitada, de contar con un </w:t>
      </w:r>
      <w:bookmarkStart w:id="3" w:name="_GoBack"/>
      <w:r w:rsidR="00F14D60">
        <w:rPr>
          <w:rFonts w:ascii="Arial" w:eastAsia="Arial" w:hAnsi="Arial" w:cs="Arial"/>
        </w:rPr>
        <w:t>estudio remitido por la entidad vigilada</w:t>
      </w:r>
      <w:r w:rsidR="00C60218">
        <w:rPr>
          <w:rFonts w:ascii="Arial" w:eastAsia="Arial" w:hAnsi="Arial" w:cs="Arial"/>
        </w:rPr>
        <w:t>,</w:t>
      </w:r>
      <w:r w:rsidR="00F14D60">
        <w:rPr>
          <w:rFonts w:ascii="Arial" w:eastAsia="Arial" w:hAnsi="Arial" w:cs="Arial"/>
        </w:rPr>
        <w:t xml:space="preserve"> en el que se evalúen los factores y variables que impactarán</w:t>
      </w:r>
      <w:r w:rsidR="00503FAB">
        <w:rPr>
          <w:rFonts w:ascii="Arial" w:eastAsia="Arial" w:hAnsi="Arial" w:cs="Arial"/>
        </w:rPr>
        <w:t xml:space="preserve"> a las </w:t>
      </w:r>
      <w:r w:rsidR="00503FAB">
        <w:rPr>
          <w:rFonts w:ascii="Arial" w:eastAsia="Arial" w:hAnsi="Arial" w:cs="Arial"/>
        </w:rPr>
        <w:lastRenderedPageBreak/>
        <w:t xml:space="preserve">organizaciones involucradas en el proceso de fusión </w:t>
      </w:r>
      <w:r w:rsidR="00F14D60">
        <w:rPr>
          <w:rFonts w:ascii="Arial" w:eastAsia="Arial" w:hAnsi="Arial" w:cs="Arial"/>
        </w:rPr>
        <w:t>a futuro, de tal m</w:t>
      </w:r>
      <w:r w:rsidR="00503FAB">
        <w:rPr>
          <w:rFonts w:ascii="Arial" w:eastAsia="Arial" w:hAnsi="Arial" w:cs="Arial"/>
        </w:rPr>
        <w:t>a</w:t>
      </w:r>
      <w:r w:rsidR="00F14D60">
        <w:rPr>
          <w:rFonts w:ascii="Arial" w:eastAsia="Arial" w:hAnsi="Arial" w:cs="Arial"/>
        </w:rPr>
        <w:t>n</w:t>
      </w:r>
      <w:r w:rsidR="00503FAB">
        <w:rPr>
          <w:rFonts w:ascii="Arial" w:eastAsia="Arial" w:hAnsi="Arial" w:cs="Arial"/>
        </w:rPr>
        <w:t>e</w:t>
      </w:r>
      <w:r w:rsidR="00F14D60">
        <w:rPr>
          <w:rFonts w:ascii="Arial" w:eastAsia="Arial" w:hAnsi="Arial" w:cs="Arial"/>
        </w:rPr>
        <w:t xml:space="preserve">ra que sea posible identificar </w:t>
      </w:r>
      <w:r w:rsidR="00503FAB">
        <w:rPr>
          <w:rFonts w:ascii="Arial" w:eastAsia="Arial" w:hAnsi="Arial" w:cs="Arial"/>
        </w:rPr>
        <w:t xml:space="preserve">los diferentes escenarios de riesgo y sus contingencias.   </w:t>
      </w:r>
    </w:p>
    <w:p w14:paraId="07365FB3" w14:textId="77777777" w:rsidR="00F128AA" w:rsidRPr="006F5D35" w:rsidRDefault="00F128AA">
      <w:pPr>
        <w:tabs>
          <w:tab w:val="center" w:pos="4252"/>
          <w:tab w:val="right" w:pos="8504"/>
        </w:tabs>
        <w:spacing w:after="0" w:line="240" w:lineRule="auto"/>
        <w:jc w:val="both"/>
        <w:rPr>
          <w:rFonts w:ascii="Arial" w:eastAsia="Arial" w:hAnsi="Arial" w:cs="Arial"/>
        </w:rPr>
      </w:pPr>
    </w:p>
    <w:bookmarkEnd w:id="3"/>
    <w:p w14:paraId="545B6952" w14:textId="637F217F" w:rsidR="00F005D6" w:rsidRPr="006F5D35" w:rsidRDefault="0093618F">
      <w:pPr>
        <w:tabs>
          <w:tab w:val="center" w:pos="4252"/>
          <w:tab w:val="right" w:pos="8504"/>
        </w:tabs>
        <w:spacing w:after="0" w:line="240" w:lineRule="auto"/>
        <w:jc w:val="both"/>
        <w:rPr>
          <w:rFonts w:ascii="Arial" w:eastAsia="Arial" w:hAnsi="Arial" w:cs="Arial"/>
        </w:rPr>
      </w:pPr>
      <w:r w:rsidRPr="006F5D35">
        <w:rPr>
          <w:rFonts w:ascii="Arial" w:eastAsia="Arial" w:hAnsi="Arial" w:cs="Arial"/>
        </w:rPr>
        <w:t>Por consiguiente, en ejercicio de la facultad otorgada a esta Superintendencia en el citado numeral 22 del artículo 36 de la Ley 454 de 1998</w:t>
      </w:r>
      <w:r w:rsidR="00C60218">
        <w:rPr>
          <w:rFonts w:ascii="Arial" w:eastAsia="Arial" w:hAnsi="Arial" w:cs="Arial"/>
        </w:rPr>
        <w:t>,</w:t>
      </w:r>
      <w:r w:rsidRPr="006F5D35">
        <w:rPr>
          <w:rFonts w:ascii="Arial" w:eastAsia="Arial" w:hAnsi="Arial" w:cs="Arial"/>
        </w:rPr>
        <w:t xml:space="preserve"> y </w:t>
      </w:r>
      <w:r w:rsidR="002E2D5B">
        <w:rPr>
          <w:rFonts w:ascii="Arial" w:eastAsia="Arial" w:hAnsi="Arial" w:cs="Arial"/>
        </w:rPr>
        <w:t xml:space="preserve">de acuerdo con la </w:t>
      </w:r>
      <w:r w:rsidR="00B53B84">
        <w:rPr>
          <w:rFonts w:ascii="Arial" w:eastAsia="Arial" w:hAnsi="Arial" w:cs="Arial"/>
        </w:rPr>
        <w:t>adición de la matriz de información necesaria para adelantar un proceso de autorización de fusión solicitada por una organización solidaria vigilada</w:t>
      </w:r>
      <w:r w:rsidRPr="006F5D35">
        <w:rPr>
          <w:rFonts w:ascii="Arial" w:eastAsia="Arial" w:hAnsi="Arial" w:cs="Arial"/>
        </w:rPr>
        <w:t>, se imparte la siguiente instrucci</w:t>
      </w:r>
      <w:r w:rsidR="00B53B84">
        <w:rPr>
          <w:rFonts w:ascii="Arial" w:eastAsia="Arial" w:hAnsi="Arial" w:cs="Arial"/>
        </w:rPr>
        <w:t>ón</w:t>
      </w:r>
      <w:r w:rsidRPr="006F5D35">
        <w:rPr>
          <w:rFonts w:ascii="Arial" w:eastAsia="Arial" w:hAnsi="Arial" w:cs="Arial"/>
        </w:rPr>
        <w:t>:</w:t>
      </w:r>
    </w:p>
    <w:p w14:paraId="51E44422" w14:textId="77777777" w:rsidR="00F005D6" w:rsidRPr="006F5D35" w:rsidRDefault="0093618F">
      <w:pPr>
        <w:tabs>
          <w:tab w:val="center" w:pos="4252"/>
          <w:tab w:val="right" w:pos="8504"/>
        </w:tabs>
        <w:spacing w:after="0" w:line="240" w:lineRule="auto"/>
        <w:jc w:val="both"/>
        <w:rPr>
          <w:rFonts w:ascii="Arial" w:eastAsia="Arial" w:hAnsi="Arial" w:cs="Arial"/>
        </w:rPr>
      </w:pPr>
      <w:r w:rsidRPr="006F5D35">
        <w:rPr>
          <w:rFonts w:ascii="Arial" w:eastAsia="Arial" w:hAnsi="Arial" w:cs="Arial"/>
        </w:rPr>
        <w:t xml:space="preserve"> </w:t>
      </w:r>
    </w:p>
    <w:p w14:paraId="7019002C" w14:textId="0DB9FBD0" w:rsidR="00DB19F4" w:rsidRDefault="0093618F" w:rsidP="002E2D5B">
      <w:pPr>
        <w:jc w:val="both"/>
        <w:rPr>
          <w:rFonts w:ascii="Arial" w:hAnsi="Arial" w:cs="Arial"/>
        </w:rPr>
      </w:pPr>
      <w:r w:rsidRPr="006F5D35">
        <w:rPr>
          <w:rFonts w:ascii="Arial" w:eastAsia="Arial" w:hAnsi="Arial" w:cs="Arial"/>
          <w:b/>
        </w:rPr>
        <w:t xml:space="preserve">PRIMERA: </w:t>
      </w:r>
      <w:r w:rsidRPr="006F5D35">
        <w:rPr>
          <w:rFonts w:ascii="Arial" w:eastAsia="Arial" w:hAnsi="Arial" w:cs="Arial"/>
        </w:rPr>
        <w:t xml:space="preserve">Modificar el numeral </w:t>
      </w:r>
      <w:r w:rsidR="00DB19F4">
        <w:rPr>
          <w:rFonts w:ascii="Arial" w:eastAsia="Arial" w:hAnsi="Arial" w:cs="Arial"/>
        </w:rPr>
        <w:t>2.1</w:t>
      </w:r>
      <w:r w:rsidRPr="006F5D35">
        <w:rPr>
          <w:rFonts w:ascii="Arial" w:eastAsia="Arial" w:hAnsi="Arial" w:cs="Arial"/>
        </w:rPr>
        <w:t xml:space="preserve"> del Capítulo </w:t>
      </w:r>
      <w:r w:rsidR="00DB19F4">
        <w:rPr>
          <w:rFonts w:ascii="Arial" w:eastAsia="Arial" w:hAnsi="Arial" w:cs="Arial"/>
        </w:rPr>
        <w:t>VI</w:t>
      </w:r>
      <w:r w:rsidRPr="006F5D35">
        <w:rPr>
          <w:rFonts w:ascii="Arial" w:eastAsia="Arial" w:hAnsi="Arial" w:cs="Arial"/>
        </w:rPr>
        <w:t>, Título IV, de la Circular Básica Jurídica, Circular Externa No. 20 del 18 de diciembre de 2020, en el sentido de</w:t>
      </w:r>
      <w:r w:rsidR="002E2D5B">
        <w:rPr>
          <w:rFonts w:ascii="Arial" w:eastAsia="Arial" w:hAnsi="Arial" w:cs="Arial"/>
        </w:rPr>
        <w:t xml:space="preserve"> establecer que </w:t>
      </w:r>
      <w:r w:rsidR="002E2D5B">
        <w:rPr>
          <w:rFonts w:ascii="Arial" w:hAnsi="Arial" w:cs="Arial"/>
        </w:rPr>
        <w:t>c</w:t>
      </w:r>
      <w:r w:rsidR="002E2D5B" w:rsidRPr="001061FA">
        <w:rPr>
          <w:rFonts w:ascii="Arial" w:hAnsi="Arial" w:cs="Arial"/>
        </w:rPr>
        <w:t>uando una organización de economía solidaria</w:t>
      </w:r>
      <w:r w:rsidR="00DB19F4">
        <w:rPr>
          <w:rFonts w:ascii="Arial" w:hAnsi="Arial" w:cs="Arial"/>
        </w:rPr>
        <w:t xml:space="preserve"> solicite autorización para fusionarse deberá adicionar a la información solicitada en la citada norma un</w:t>
      </w:r>
      <w:r w:rsidR="00DB19F4" w:rsidRPr="00DB19F4">
        <w:rPr>
          <w:rFonts w:ascii="Arial" w:hAnsi="Arial" w:cs="Arial"/>
        </w:rPr>
        <w:t xml:space="preserve"> estudio que contenga el análisis de riesgos de la operación de fusión y una proyección de los impactos financieros y jurídicos esperados, indicando los factores involucrados en su evaluación, tales como: Patrimonio, Capital Mínimo, Excedentes, Activos, Pasivos, Aportes Sociales, Base Social, Fondos, Inversiones; entre otros y los que la organización solidaria estime convenientes.</w:t>
      </w:r>
    </w:p>
    <w:p w14:paraId="1DB4D406" w14:textId="4E43A13D" w:rsidR="002E2D5B" w:rsidRPr="00B53B84" w:rsidRDefault="002E2D5B" w:rsidP="002E2D5B">
      <w:pPr>
        <w:jc w:val="both"/>
        <w:rPr>
          <w:rFonts w:ascii="Arial" w:eastAsia="Arial" w:hAnsi="Arial" w:cs="Arial"/>
          <w:i/>
          <w:iCs/>
        </w:rPr>
      </w:pPr>
      <w:r>
        <w:rPr>
          <w:rFonts w:ascii="Arial" w:eastAsia="Arial" w:hAnsi="Arial" w:cs="Arial"/>
        </w:rPr>
        <w:t xml:space="preserve">Lo anterior de conformidad con lo establecido en el numeral </w:t>
      </w:r>
      <w:r w:rsidR="00B53B84">
        <w:rPr>
          <w:rFonts w:ascii="Arial" w:eastAsia="Arial" w:hAnsi="Arial" w:cs="Arial"/>
        </w:rPr>
        <w:t>22</w:t>
      </w:r>
      <w:r>
        <w:rPr>
          <w:rFonts w:ascii="Arial" w:eastAsia="Arial" w:hAnsi="Arial" w:cs="Arial"/>
        </w:rPr>
        <w:t xml:space="preserve"> del artículo 38 de la Ley 454 de 1998</w:t>
      </w:r>
      <w:r w:rsidR="00B53B84">
        <w:rPr>
          <w:rFonts w:ascii="Arial" w:eastAsia="Arial" w:hAnsi="Arial" w:cs="Arial"/>
        </w:rPr>
        <w:t xml:space="preserve">: </w:t>
      </w:r>
      <w:r w:rsidR="00B53B84" w:rsidRPr="00B53B84">
        <w:rPr>
          <w:rFonts w:ascii="Arial" w:eastAsia="Arial" w:hAnsi="Arial" w:cs="Arial"/>
          <w:i/>
          <w:iCs/>
        </w:rPr>
        <w:t>“Instruir a las instituciones vigiladas sobre la manera como deben cumplirse las disposiciones que rigen su actividad, fijar los criterios técnicos y jurídicos que faciliten el cumplimiento de tales normas y señalar los procedimientos para su cabal aplicación.”</w:t>
      </w:r>
    </w:p>
    <w:p w14:paraId="43D9E700" w14:textId="74D8CCE5" w:rsidR="00F005D6" w:rsidRDefault="0093618F">
      <w:pPr>
        <w:spacing w:after="0" w:line="240" w:lineRule="auto"/>
        <w:jc w:val="both"/>
        <w:rPr>
          <w:rFonts w:ascii="Arial" w:eastAsia="Arial" w:hAnsi="Arial" w:cs="Arial"/>
        </w:rPr>
      </w:pPr>
      <w:r>
        <w:rPr>
          <w:rFonts w:ascii="Arial" w:eastAsia="Arial" w:hAnsi="Arial" w:cs="Arial"/>
        </w:rPr>
        <w:t>De acuerdo con la anterior instrucci</w:t>
      </w:r>
      <w:r w:rsidR="00C60218">
        <w:rPr>
          <w:rFonts w:ascii="Arial" w:eastAsia="Arial" w:hAnsi="Arial" w:cs="Arial"/>
        </w:rPr>
        <w:t>ón</w:t>
      </w:r>
      <w:r>
        <w:rPr>
          <w:rFonts w:ascii="Arial" w:eastAsia="Arial" w:hAnsi="Arial" w:cs="Arial"/>
        </w:rPr>
        <w:t>, se anexan las páginas objeto de modificación.</w:t>
      </w:r>
    </w:p>
    <w:p w14:paraId="197FBFBF" w14:textId="77777777" w:rsidR="00F005D6" w:rsidRDefault="00F005D6">
      <w:pPr>
        <w:spacing w:after="0" w:line="240" w:lineRule="auto"/>
        <w:jc w:val="both"/>
        <w:rPr>
          <w:rFonts w:ascii="Arial" w:eastAsia="Arial" w:hAnsi="Arial" w:cs="Arial"/>
        </w:rPr>
      </w:pPr>
    </w:p>
    <w:p w14:paraId="322F620A" w14:textId="77777777" w:rsidR="00C60218" w:rsidRDefault="00C60218">
      <w:pPr>
        <w:rPr>
          <w:rFonts w:ascii="Arial" w:eastAsia="Arial" w:hAnsi="Arial" w:cs="Arial"/>
        </w:rPr>
      </w:pPr>
    </w:p>
    <w:p w14:paraId="54EBC692" w14:textId="1F76F8B1" w:rsidR="00F005D6" w:rsidRDefault="0093618F">
      <w:r>
        <w:rPr>
          <w:rFonts w:ascii="Arial" w:eastAsia="Arial" w:hAnsi="Arial" w:cs="Arial"/>
        </w:rPr>
        <w:t>Cordialmente,</w:t>
      </w:r>
    </w:p>
    <w:p w14:paraId="3E79EA6E" w14:textId="77777777" w:rsidR="00B67140" w:rsidRDefault="00B67140"/>
    <w:p w14:paraId="094E9655" w14:textId="77777777" w:rsidR="00B67140" w:rsidRPr="00B67140" w:rsidRDefault="00B67140">
      <w:pPr>
        <w:rPr>
          <w:rFonts w:ascii="Arial" w:hAnsi="Arial" w:cs="Arial"/>
        </w:rPr>
      </w:pPr>
    </w:p>
    <w:p w14:paraId="1552AB01" w14:textId="77777777" w:rsidR="00C60218" w:rsidRDefault="00C60218" w:rsidP="00B67140">
      <w:pPr>
        <w:spacing w:after="0"/>
        <w:rPr>
          <w:rFonts w:ascii="Arial" w:hAnsi="Arial" w:cs="Arial"/>
          <w:b/>
          <w:bCs/>
        </w:rPr>
      </w:pPr>
    </w:p>
    <w:p w14:paraId="3E907FEA" w14:textId="1CF24520" w:rsidR="00B67140" w:rsidRPr="00B67140" w:rsidRDefault="00B67140" w:rsidP="00B67140">
      <w:pPr>
        <w:spacing w:after="0"/>
        <w:rPr>
          <w:rFonts w:ascii="Arial" w:hAnsi="Arial" w:cs="Arial"/>
          <w:b/>
          <w:bCs/>
        </w:rPr>
      </w:pPr>
      <w:r w:rsidRPr="00B67140">
        <w:rPr>
          <w:rFonts w:ascii="Arial" w:hAnsi="Arial" w:cs="Arial"/>
          <w:b/>
          <w:bCs/>
        </w:rPr>
        <w:t>MARÍA JOSÉ NAVARRO MUÑOZ</w:t>
      </w:r>
    </w:p>
    <w:p w14:paraId="48880B99" w14:textId="77777777" w:rsidR="00B67140" w:rsidRPr="00B67140" w:rsidRDefault="00B67140" w:rsidP="00B67140">
      <w:pPr>
        <w:spacing w:after="0"/>
        <w:rPr>
          <w:rFonts w:ascii="Arial" w:hAnsi="Arial" w:cs="Arial"/>
        </w:rPr>
      </w:pPr>
      <w:r w:rsidRPr="00B67140">
        <w:rPr>
          <w:rFonts w:ascii="Arial" w:hAnsi="Arial" w:cs="Arial"/>
        </w:rPr>
        <w:t>Superintendenta</w:t>
      </w:r>
    </w:p>
    <w:p w14:paraId="21DE684F" w14:textId="45CD0362" w:rsidR="00B67140" w:rsidRPr="00D432CE" w:rsidRDefault="00B67140" w:rsidP="00B67140">
      <w:pPr>
        <w:spacing w:after="0" w:line="240" w:lineRule="auto"/>
        <w:rPr>
          <w:rFonts w:ascii="Arial" w:hAnsi="Arial" w:cs="Arial"/>
          <w:sz w:val="16"/>
          <w:szCs w:val="16"/>
        </w:rPr>
      </w:pPr>
      <w:r w:rsidRPr="00D432CE">
        <w:rPr>
          <w:rFonts w:ascii="Arial" w:hAnsi="Arial" w:cs="Arial"/>
          <w:sz w:val="16"/>
          <w:szCs w:val="16"/>
        </w:rPr>
        <w:t xml:space="preserve">Proyectó: </w:t>
      </w:r>
      <w:r w:rsidR="00F753DC">
        <w:rPr>
          <w:rFonts w:ascii="Arial" w:hAnsi="Arial" w:cs="Arial"/>
          <w:sz w:val="16"/>
          <w:szCs w:val="16"/>
        </w:rPr>
        <w:t>Luis Carlos Gualdrón Leal</w:t>
      </w:r>
      <w:r w:rsidRPr="00D432CE">
        <w:rPr>
          <w:rFonts w:ascii="Arial" w:hAnsi="Arial" w:cs="Arial"/>
          <w:sz w:val="16"/>
          <w:szCs w:val="16"/>
        </w:rPr>
        <w:t xml:space="preserve"> </w:t>
      </w:r>
      <w:r w:rsidR="00F753DC">
        <w:rPr>
          <w:rFonts w:ascii="Arial" w:hAnsi="Arial" w:cs="Arial"/>
          <w:sz w:val="16"/>
          <w:szCs w:val="16"/>
        </w:rPr>
        <w:t>Profesional especializado Delegatura Asociativa</w:t>
      </w:r>
    </w:p>
    <w:p w14:paraId="732B4E68" w14:textId="492148CA" w:rsidR="00F005D6" w:rsidRPr="00D432CE" w:rsidRDefault="00B67140" w:rsidP="00B67140">
      <w:pPr>
        <w:spacing w:after="0" w:line="240" w:lineRule="auto"/>
        <w:rPr>
          <w:rFonts w:ascii="Arial" w:hAnsi="Arial" w:cs="Arial"/>
          <w:sz w:val="16"/>
          <w:szCs w:val="16"/>
        </w:rPr>
      </w:pPr>
      <w:r w:rsidRPr="00D432CE">
        <w:rPr>
          <w:rFonts w:ascii="Arial" w:hAnsi="Arial" w:cs="Arial"/>
          <w:sz w:val="16"/>
          <w:szCs w:val="16"/>
        </w:rPr>
        <w:t>Revisó: Iveth Susana Ayala Rodríguez - Secretaría General / Angélica Zamora – Jefa Oficina Asesora de Planeación /</w:t>
      </w:r>
      <w:r w:rsidR="00D432CE" w:rsidRPr="00D83BD4">
        <w:rPr>
          <w:rFonts w:ascii="Arial" w:hAnsi="Arial" w:cs="Arial"/>
          <w:sz w:val="16"/>
          <w:szCs w:val="16"/>
        </w:rPr>
        <w:t>B</w:t>
      </w:r>
      <w:r w:rsidR="00D432CE" w:rsidRPr="00D432CE">
        <w:rPr>
          <w:rFonts w:ascii="Arial" w:hAnsi="Arial" w:cs="Arial"/>
          <w:sz w:val="16"/>
          <w:szCs w:val="16"/>
        </w:rPr>
        <w:t>eatriz Leonela Lizcano Castro – Jefa</w:t>
      </w:r>
      <w:r w:rsidR="00D432CE" w:rsidRPr="00D432CE">
        <w:rPr>
          <w:rFonts w:ascii="Arial" w:hAnsi="Arial" w:cs="Arial"/>
          <w:b/>
          <w:bCs/>
          <w:sz w:val="16"/>
          <w:szCs w:val="16"/>
        </w:rPr>
        <w:t xml:space="preserve"> </w:t>
      </w:r>
      <w:r w:rsidR="00D432CE" w:rsidRPr="00D432CE">
        <w:rPr>
          <w:rFonts w:ascii="Arial" w:hAnsi="Arial" w:cs="Arial"/>
          <w:sz w:val="16"/>
          <w:szCs w:val="16"/>
        </w:rPr>
        <w:t>Oficina Asesora Jurídica /</w:t>
      </w:r>
      <w:r w:rsidR="00F753DC" w:rsidRPr="00F753DC">
        <w:rPr>
          <w:rFonts w:ascii="Arial" w:hAnsi="Arial" w:cs="Arial"/>
          <w:sz w:val="16"/>
          <w:szCs w:val="16"/>
        </w:rPr>
        <w:t xml:space="preserve"> </w:t>
      </w:r>
      <w:r w:rsidR="00F753DC" w:rsidRPr="00D432CE">
        <w:rPr>
          <w:rFonts w:ascii="Arial" w:hAnsi="Arial" w:cs="Arial"/>
          <w:sz w:val="16"/>
          <w:szCs w:val="16"/>
        </w:rPr>
        <w:t>Jhaniela Jiménez Gutiérrez</w:t>
      </w:r>
      <w:r w:rsidRPr="00D432CE">
        <w:rPr>
          <w:rFonts w:ascii="Arial" w:hAnsi="Arial" w:cs="Arial"/>
          <w:sz w:val="16"/>
          <w:szCs w:val="16"/>
        </w:rPr>
        <w:t xml:space="preserve"> – Delegada</w:t>
      </w:r>
      <w:r w:rsidR="00F753DC">
        <w:rPr>
          <w:rFonts w:ascii="Arial" w:hAnsi="Arial" w:cs="Arial"/>
          <w:sz w:val="16"/>
          <w:szCs w:val="16"/>
        </w:rPr>
        <w:t xml:space="preserve"> (e) </w:t>
      </w:r>
      <w:r w:rsidRPr="00D432CE">
        <w:rPr>
          <w:rFonts w:ascii="Arial" w:hAnsi="Arial" w:cs="Arial"/>
          <w:sz w:val="16"/>
          <w:szCs w:val="16"/>
        </w:rPr>
        <w:t xml:space="preserve"> </w:t>
      </w:r>
      <w:r w:rsidRPr="00D432CE">
        <w:rPr>
          <w:rFonts w:ascii="Arial" w:hAnsi="Arial" w:cs="Arial"/>
          <w:sz w:val="16"/>
          <w:szCs w:val="16"/>
          <w:shd w:val="clear" w:color="auto" w:fill="FFFFFF"/>
        </w:rPr>
        <w:t>para la Supervisión Del Ahorro y la Forma Asociativa Solidaria</w:t>
      </w:r>
      <w:r w:rsidRPr="00D432CE">
        <w:rPr>
          <w:rFonts w:ascii="Arial" w:hAnsi="Arial" w:cs="Arial"/>
          <w:sz w:val="16"/>
          <w:szCs w:val="16"/>
        </w:rPr>
        <w:t xml:space="preserve"> / Bernardo Ortiz Posada – </w:t>
      </w:r>
      <w:r w:rsidR="00C60218">
        <w:rPr>
          <w:rFonts w:ascii="Arial" w:hAnsi="Arial" w:cs="Arial"/>
          <w:sz w:val="16"/>
          <w:szCs w:val="16"/>
        </w:rPr>
        <w:t xml:space="preserve">Intendente </w:t>
      </w:r>
      <w:r w:rsidR="00C60218" w:rsidRPr="00D432CE">
        <w:rPr>
          <w:rFonts w:ascii="Arial" w:hAnsi="Arial" w:cs="Arial"/>
          <w:sz w:val="16"/>
          <w:szCs w:val="16"/>
          <w:shd w:val="clear" w:color="auto" w:fill="FFFFFF"/>
        </w:rPr>
        <w:t>para la Supervisión Del Ahorro y la Forma Asociativa Solidaria</w:t>
      </w:r>
      <w:r w:rsidR="00C60218">
        <w:rPr>
          <w:rFonts w:ascii="Arial" w:hAnsi="Arial" w:cs="Arial"/>
          <w:sz w:val="16"/>
          <w:szCs w:val="16"/>
          <w:shd w:val="clear" w:color="auto" w:fill="FFFFFF"/>
        </w:rPr>
        <w:t>.</w:t>
      </w:r>
    </w:p>
    <w:sectPr w:rsidR="00F005D6" w:rsidRPr="00D432CE">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E0A78" w14:textId="77777777" w:rsidR="00D24B2A" w:rsidRDefault="00D24B2A">
      <w:pPr>
        <w:spacing w:after="0" w:line="240" w:lineRule="auto"/>
      </w:pPr>
      <w:r>
        <w:separator/>
      </w:r>
    </w:p>
  </w:endnote>
  <w:endnote w:type="continuationSeparator" w:id="0">
    <w:p w14:paraId="7E0A9C6D" w14:textId="77777777" w:rsidR="00D24B2A" w:rsidRDefault="00D2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63D5" w14:textId="77777777" w:rsidR="00F005D6" w:rsidRDefault="0093618F">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24"/>
        <w:szCs w:val="24"/>
      </w:rPr>
    </w:pPr>
    <w:r>
      <w:rPr>
        <w:rFonts w:ascii="Arial" w:eastAsia="Arial" w:hAnsi="Arial" w:cs="Arial"/>
        <w:i/>
        <w:noProof/>
        <w:color w:val="000000"/>
        <w:sz w:val="24"/>
        <w:szCs w:val="24"/>
      </w:rPr>
      <w:drawing>
        <wp:inline distT="0" distB="0" distL="0" distR="0" wp14:anchorId="04C37BFD" wp14:editId="5A785C32">
          <wp:extent cx="5612130" cy="1034068"/>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1034068"/>
                  </a:xfrm>
                  <a:prstGeom prst="rect">
                    <a:avLst/>
                  </a:prstGeom>
                  <a:ln/>
                </pic:spPr>
              </pic:pic>
            </a:graphicData>
          </a:graphic>
        </wp:inline>
      </w:drawing>
    </w:r>
  </w:p>
  <w:p w14:paraId="2EA3D758" w14:textId="77777777" w:rsidR="00F005D6" w:rsidRDefault="0093618F">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24"/>
        <w:szCs w:val="24"/>
      </w:rPr>
    </w:pPr>
    <w:r>
      <w:rPr>
        <w:noProof/>
      </w:rPr>
      <mc:AlternateContent>
        <mc:Choice Requires="wps">
          <w:drawing>
            <wp:anchor distT="0" distB="0" distL="114300" distR="114300" simplePos="0" relativeHeight="251658240" behindDoc="0" locked="0" layoutInCell="1" hidden="0" allowOverlap="1" wp14:anchorId="5675C859" wp14:editId="7F93E488">
              <wp:simplePos x="0" y="0"/>
              <wp:positionH relativeFrom="column">
                <wp:posOffset>889000</wp:posOffset>
              </wp:positionH>
              <wp:positionV relativeFrom="paragraph">
                <wp:posOffset>114300</wp:posOffset>
              </wp:positionV>
              <wp:extent cx="6107430" cy="693420"/>
              <wp:effectExtent l="0" t="0" r="0" b="0"/>
              <wp:wrapNone/>
              <wp:docPr id="13" name="Rectángulo 13"/>
              <wp:cNvGraphicFramePr/>
              <a:graphic xmlns:a="http://schemas.openxmlformats.org/drawingml/2006/main">
                <a:graphicData uri="http://schemas.microsoft.com/office/word/2010/wordprocessingShape">
                  <wps:wsp>
                    <wps:cNvSpPr/>
                    <wps:spPr>
                      <a:xfrm>
                        <a:off x="2297048" y="3438053"/>
                        <a:ext cx="6097905" cy="683895"/>
                      </a:xfrm>
                      <a:prstGeom prst="rect">
                        <a:avLst/>
                      </a:prstGeom>
                      <a:noFill/>
                      <a:ln>
                        <a:noFill/>
                      </a:ln>
                    </wps:spPr>
                    <wps:txbx>
                      <w:txbxContent>
                        <w:p w14:paraId="67B32C51" w14:textId="77777777" w:rsidR="00F005D6" w:rsidRDefault="00F005D6">
                          <w:pPr>
                            <w:spacing w:line="258" w:lineRule="auto"/>
                            <w:ind w:left="-3407" w:hanging="3407"/>
                            <w:jc w:val="center"/>
                            <w:textDirection w:val="btLr"/>
                          </w:pP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5C859" id="Rectángulo 13" o:spid="_x0000_s1026" style="position:absolute;margin-left:70pt;margin-top:9pt;width:480.9pt;height:5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" filled="f" stroked="f">
              <v:textbox inset="2.53958mm,1.2694mm,2.53958mm,1.2694mm">
                <w:txbxContent>
                  <w:p w14:paraId="67B32C51" w14:textId="77777777" w:rsidR="00F005D6" w:rsidRDefault="00F005D6">
                    <w:pPr>
                      <w:spacing w:line="258" w:lineRule="auto"/>
                      <w:ind w:left="-3407" w:hanging="3407"/>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9010C" w14:textId="77777777" w:rsidR="00D24B2A" w:rsidRDefault="00D24B2A">
      <w:pPr>
        <w:spacing w:after="0" w:line="240" w:lineRule="auto"/>
      </w:pPr>
      <w:r>
        <w:separator/>
      </w:r>
    </w:p>
  </w:footnote>
  <w:footnote w:type="continuationSeparator" w:id="0">
    <w:p w14:paraId="34083305" w14:textId="77777777" w:rsidR="00D24B2A" w:rsidRDefault="00D2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D6"/>
    <w:rsid w:val="0000680D"/>
    <w:rsid w:val="0002062E"/>
    <w:rsid w:val="00187C88"/>
    <w:rsid w:val="001B3615"/>
    <w:rsid w:val="001F2614"/>
    <w:rsid w:val="002E2D5B"/>
    <w:rsid w:val="003F78E7"/>
    <w:rsid w:val="004E6B66"/>
    <w:rsid w:val="00503FAB"/>
    <w:rsid w:val="00620255"/>
    <w:rsid w:val="006A75C7"/>
    <w:rsid w:val="006F5D35"/>
    <w:rsid w:val="0072142C"/>
    <w:rsid w:val="007F3989"/>
    <w:rsid w:val="008A09DE"/>
    <w:rsid w:val="009103B9"/>
    <w:rsid w:val="0093618F"/>
    <w:rsid w:val="00A93A1A"/>
    <w:rsid w:val="00B53B84"/>
    <w:rsid w:val="00B67140"/>
    <w:rsid w:val="00BC1972"/>
    <w:rsid w:val="00C60218"/>
    <w:rsid w:val="00C64EBE"/>
    <w:rsid w:val="00CC524D"/>
    <w:rsid w:val="00D24B2A"/>
    <w:rsid w:val="00D432CE"/>
    <w:rsid w:val="00DB19F4"/>
    <w:rsid w:val="00DE3DBE"/>
    <w:rsid w:val="00DE7C80"/>
    <w:rsid w:val="00F005D6"/>
    <w:rsid w:val="00F100B5"/>
    <w:rsid w:val="00F128AA"/>
    <w:rsid w:val="00F14D60"/>
    <w:rsid w:val="00F753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7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nhideWhenUsed/>
    <w:rsid w:val="00773D6C"/>
    <w:pPr>
      <w:tabs>
        <w:tab w:val="center" w:pos="4419"/>
        <w:tab w:val="right" w:pos="8838"/>
      </w:tabs>
      <w:suppressAutoHyphens/>
      <w:spacing w:after="0" w:line="240" w:lineRule="auto"/>
    </w:pPr>
    <w:rPr>
      <w:rFonts w:ascii="Arial" w:eastAsia="Times New Roman" w:hAnsi="Arial" w:cs="Arial"/>
      <w:i/>
      <w:sz w:val="24"/>
      <w:szCs w:val="24"/>
      <w:lang w:eastAsia="ar-SA"/>
    </w:rPr>
  </w:style>
  <w:style w:type="character" w:customStyle="1" w:styleId="PiedepginaCar">
    <w:name w:val="Pie de página Car"/>
    <w:basedOn w:val="Fuentedeprrafopredeter"/>
    <w:link w:val="Piedepgina"/>
    <w:rsid w:val="00773D6C"/>
    <w:rPr>
      <w:rFonts w:ascii="Arial" w:eastAsia="Times New Roman" w:hAnsi="Arial" w:cs="Arial"/>
      <w:i/>
      <w:sz w:val="24"/>
      <w:szCs w:val="24"/>
      <w:lang w:eastAsia="ar-SA"/>
    </w:rPr>
  </w:style>
  <w:style w:type="character" w:styleId="Refdecomentario">
    <w:name w:val="annotation reference"/>
    <w:basedOn w:val="Fuentedeprrafopredeter"/>
    <w:uiPriority w:val="99"/>
    <w:semiHidden/>
    <w:unhideWhenUsed/>
    <w:rsid w:val="00773D6C"/>
    <w:rPr>
      <w:sz w:val="16"/>
      <w:szCs w:val="16"/>
    </w:rPr>
  </w:style>
  <w:style w:type="paragraph" w:styleId="Textocomentario">
    <w:name w:val="annotation text"/>
    <w:basedOn w:val="Normal"/>
    <w:link w:val="TextocomentarioCar"/>
    <w:uiPriority w:val="99"/>
    <w:unhideWhenUsed/>
    <w:rsid w:val="00773D6C"/>
    <w:pPr>
      <w:suppressAutoHyphens/>
      <w:spacing w:after="0" w:line="240" w:lineRule="auto"/>
    </w:pPr>
    <w:rPr>
      <w:rFonts w:ascii="Arial" w:eastAsia="Times New Roman" w:hAnsi="Arial" w:cs="Arial"/>
      <w:i/>
      <w:sz w:val="20"/>
      <w:szCs w:val="20"/>
      <w:lang w:eastAsia="ar-SA"/>
    </w:rPr>
  </w:style>
  <w:style w:type="character" w:customStyle="1" w:styleId="TextocomentarioCar">
    <w:name w:val="Texto comentario Car"/>
    <w:basedOn w:val="Fuentedeprrafopredeter"/>
    <w:link w:val="Textocomentario"/>
    <w:uiPriority w:val="99"/>
    <w:rsid w:val="00773D6C"/>
    <w:rPr>
      <w:rFonts w:ascii="Arial" w:eastAsia="Times New Roman" w:hAnsi="Arial" w:cs="Arial"/>
      <w:i/>
      <w:sz w:val="20"/>
      <w:szCs w:val="20"/>
      <w:lang w:eastAsia="ar-SA"/>
    </w:rPr>
  </w:style>
  <w:style w:type="paragraph" w:styleId="Textodeglobo">
    <w:name w:val="Balloon Text"/>
    <w:basedOn w:val="Normal"/>
    <w:link w:val="TextodegloboCar"/>
    <w:uiPriority w:val="99"/>
    <w:semiHidden/>
    <w:unhideWhenUsed/>
    <w:rsid w:val="00773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D6C"/>
    <w:rPr>
      <w:rFonts w:ascii="Segoe UI" w:hAnsi="Segoe UI" w:cs="Segoe UI"/>
      <w:sz w:val="18"/>
      <w:szCs w:val="18"/>
    </w:rPr>
  </w:style>
  <w:style w:type="paragraph" w:styleId="Revisin">
    <w:name w:val="Revision"/>
    <w:hidden/>
    <w:uiPriority w:val="99"/>
    <w:semiHidden/>
    <w:rsid w:val="00CE1C70"/>
    <w:pPr>
      <w:spacing w:after="0" w:line="240" w:lineRule="auto"/>
    </w:pPr>
  </w:style>
  <w:style w:type="paragraph" w:styleId="Encabezado">
    <w:name w:val="header"/>
    <w:basedOn w:val="Normal"/>
    <w:link w:val="EncabezadoCar"/>
    <w:uiPriority w:val="99"/>
    <w:unhideWhenUsed/>
    <w:rsid w:val="00961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F0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Asuntodelcomentario">
    <w:name w:val="annotation subject"/>
    <w:basedOn w:val="Textocomentario"/>
    <w:next w:val="Textocomentario"/>
    <w:link w:val="AsuntodelcomentarioCar"/>
    <w:uiPriority w:val="99"/>
    <w:semiHidden/>
    <w:unhideWhenUsed/>
    <w:rsid w:val="00DE7C80"/>
    <w:pPr>
      <w:suppressAutoHyphens w:val="0"/>
      <w:spacing w:after="160"/>
    </w:pPr>
    <w:rPr>
      <w:rFonts w:ascii="Calibri" w:eastAsia="Calibri" w:hAnsi="Calibri" w:cs="Calibri"/>
      <w:b/>
      <w:bCs/>
      <w:i w:val="0"/>
      <w:lang w:eastAsia="es-CO"/>
    </w:rPr>
  </w:style>
  <w:style w:type="character" w:customStyle="1" w:styleId="AsuntodelcomentarioCar">
    <w:name w:val="Asunto del comentario Car"/>
    <w:basedOn w:val="TextocomentarioCar"/>
    <w:link w:val="Asuntodelcomentario"/>
    <w:uiPriority w:val="99"/>
    <w:semiHidden/>
    <w:rsid w:val="00DE7C80"/>
    <w:rPr>
      <w:rFonts w:ascii="Arial" w:eastAsia="Times New Roman" w:hAnsi="Arial" w:cs="Arial"/>
      <w:b/>
      <w:bCs/>
      <w:i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67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nhideWhenUsed/>
    <w:rsid w:val="00773D6C"/>
    <w:pPr>
      <w:tabs>
        <w:tab w:val="center" w:pos="4419"/>
        <w:tab w:val="right" w:pos="8838"/>
      </w:tabs>
      <w:suppressAutoHyphens/>
      <w:spacing w:after="0" w:line="240" w:lineRule="auto"/>
    </w:pPr>
    <w:rPr>
      <w:rFonts w:ascii="Arial" w:eastAsia="Times New Roman" w:hAnsi="Arial" w:cs="Arial"/>
      <w:i/>
      <w:sz w:val="24"/>
      <w:szCs w:val="24"/>
      <w:lang w:eastAsia="ar-SA"/>
    </w:rPr>
  </w:style>
  <w:style w:type="character" w:customStyle="1" w:styleId="PiedepginaCar">
    <w:name w:val="Pie de página Car"/>
    <w:basedOn w:val="Fuentedeprrafopredeter"/>
    <w:link w:val="Piedepgina"/>
    <w:rsid w:val="00773D6C"/>
    <w:rPr>
      <w:rFonts w:ascii="Arial" w:eastAsia="Times New Roman" w:hAnsi="Arial" w:cs="Arial"/>
      <w:i/>
      <w:sz w:val="24"/>
      <w:szCs w:val="24"/>
      <w:lang w:eastAsia="ar-SA"/>
    </w:rPr>
  </w:style>
  <w:style w:type="character" w:styleId="Refdecomentario">
    <w:name w:val="annotation reference"/>
    <w:basedOn w:val="Fuentedeprrafopredeter"/>
    <w:uiPriority w:val="99"/>
    <w:semiHidden/>
    <w:unhideWhenUsed/>
    <w:rsid w:val="00773D6C"/>
    <w:rPr>
      <w:sz w:val="16"/>
      <w:szCs w:val="16"/>
    </w:rPr>
  </w:style>
  <w:style w:type="paragraph" w:styleId="Textocomentario">
    <w:name w:val="annotation text"/>
    <w:basedOn w:val="Normal"/>
    <w:link w:val="TextocomentarioCar"/>
    <w:uiPriority w:val="99"/>
    <w:unhideWhenUsed/>
    <w:rsid w:val="00773D6C"/>
    <w:pPr>
      <w:suppressAutoHyphens/>
      <w:spacing w:after="0" w:line="240" w:lineRule="auto"/>
    </w:pPr>
    <w:rPr>
      <w:rFonts w:ascii="Arial" w:eastAsia="Times New Roman" w:hAnsi="Arial" w:cs="Arial"/>
      <w:i/>
      <w:sz w:val="20"/>
      <w:szCs w:val="20"/>
      <w:lang w:eastAsia="ar-SA"/>
    </w:rPr>
  </w:style>
  <w:style w:type="character" w:customStyle="1" w:styleId="TextocomentarioCar">
    <w:name w:val="Texto comentario Car"/>
    <w:basedOn w:val="Fuentedeprrafopredeter"/>
    <w:link w:val="Textocomentario"/>
    <w:uiPriority w:val="99"/>
    <w:rsid w:val="00773D6C"/>
    <w:rPr>
      <w:rFonts w:ascii="Arial" w:eastAsia="Times New Roman" w:hAnsi="Arial" w:cs="Arial"/>
      <w:i/>
      <w:sz w:val="20"/>
      <w:szCs w:val="20"/>
      <w:lang w:eastAsia="ar-SA"/>
    </w:rPr>
  </w:style>
  <w:style w:type="paragraph" w:styleId="Textodeglobo">
    <w:name w:val="Balloon Text"/>
    <w:basedOn w:val="Normal"/>
    <w:link w:val="TextodegloboCar"/>
    <w:uiPriority w:val="99"/>
    <w:semiHidden/>
    <w:unhideWhenUsed/>
    <w:rsid w:val="00773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D6C"/>
    <w:rPr>
      <w:rFonts w:ascii="Segoe UI" w:hAnsi="Segoe UI" w:cs="Segoe UI"/>
      <w:sz w:val="18"/>
      <w:szCs w:val="18"/>
    </w:rPr>
  </w:style>
  <w:style w:type="paragraph" w:styleId="Revisin">
    <w:name w:val="Revision"/>
    <w:hidden/>
    <w:uiPriority w:val="99"/>
    <w:semiHidden/>
    <w:rsid w:val="00CE1C70"/>
    <w:pPr>
      <w:spacing w:after="0" w:line="240" w:lineRule="auto"/>
    </w:pPr>
  </w:style>
  <w:style w:type="paragraph" w:styleId="Encabezado">
    <w:name w:val="header"/>
    <w:basedOn w:val="Normal"/>
    <w:link w:val="EncabezadoCar"/>
    <w:uiPriority w:val="99"/>
    <w:unhideWhenUsed/>
    <w:rsid w:val="00961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F0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Asuntodelcomentario">
    <w:name w:val="annotation subject"/>
    <w:basedOn w:val="Textocomentario"/>
    <w:next w:val="Textocomentario"/>
    <w:link w:val="AsuntodelcomentarioCar"/>
    <w:uiPriority w:val="99"/>
    <w:semiHidden/>
    <w:unhideWhenUsed/>
    <w:rsid w:val="00DE7C80"/>
    <w:pPr>
      <w:suppressAutoHyphens w:val="0"/>
      <w:spacing w:after="160"/>
    </w:pPr>
    <w:rPr>
      <w:rFonts w:ascii="Calibri" w:eastAsia="Calibri" w:hAnsi="Calibri" w:cs="Calibri"/>
      <w:b/>
      <w:bCs/>
      <w:i w:val="0"/>
      <w:lang w:eastAsia="es-CO"/>
    </w:rPr>
  </w:style>
  <w:style w:type="character" w:customStyle="1" w:styleId="AsuntodelcomentarioCar">
    <w:name w:val="Asunto del comentario Car"/>
    <w:basedOn w:val="TextocomentarioCar"/>
    <w:link w:val="Asuntodelcomentario"/>
    <w:uiPriority w:val="99"/>
    <w:semiHidden/>
    <w:rsid w:val="00DE7C80"/>
    <w:rPr>
      <w:rFonts w:ascii="Arial" w:eastAsia="Times New Roman" w:hAnsi="Arial" w:cs="Arial"/>
      <w:b/>
      <w:bCs/>
      <w:i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fYogI21BMJ1DSBtSeL7bvf1ig==">CgMxLjAyCGguZ2pkZ3hzMgppZC4zMGowemxsMgppZC4xZm9iOXRlOAByITFQVUFJMkJIeWJiam5EWkNPZ0UteGFkQmJFT1RkNUE0Mw==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5243B9-605E-4C0C-9A6A-22B162B8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López Castillo</dc:creator>
  <cp:lastModifiedBy>Jhaniela Jimenez Gutierrez</cp:lastModifiedBy>
  <cp:revision>4</cp:revision>
  <dcterms:created xsi:type="dcterms:W3CDTF">2024-05-10T14:10:00Z</dcterms:created>
  <dcterms:modified xsi:type="dcterms:W3CDTF">2024-05-28T14:26:00Z</dcterms:modified>
</cp:coreProperties>
</file>