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2B9782" w14:textId="77777777" w:rsidR="00BE279A" w:rsidRPr="000E2F12" w:rsidRDefault="00BE279A" w:rsidP="00BE279A">
      <w:pPr>
        <w:spacing w:line="276" w:lineRule="auto"/>
        <w:jc w:val="both"/>
        <w:rPr>
          <w:rFonts w:eastAsiaTheme="minorHAnsi"/>
          <w:i w:val="0"/>
          <w:sz w:val="22"/>
          <w:szCs w:val="22"/>
          <w:lang w:eastAsia="en-US"/>
        </w:rPr>
      </w:pPr>
      <w:r w:rsidRPr="000E2F12">
        <w:rPr>
          <w:rFonts w:eastAsiaTheme="minorHAnsi"/>
          <w:i w:val="0"/>
          <w:sz w:val="22"/>
          <w:szCs w:val="22"/>
          <w:lang w:eastAsia="en-US"/>
        </w:rPr>
        <w:t xml:space="preserve">Por mandato constitucional y legal, corresponde a la </w:t>
      </w:r>
      <w:proofErr w:type="gramStart"/>
      <w:r w:rsidRPr="000E2F12">
        <w:rPr>
          <w:rFonts w:eastAsiaTheme="minorHAnsi"/>
          <w:i w:val="0"/>
          <w:sz w:val="22"/>
          <w:szCs w:val="22"/>
          <w:lang w:eastAsia="en-US"/>
        </w:rPr>
        <w:t>Presidente</w:t>
      </w:r>
      <w:proofErr w:type="gramEnd"/>
      <w:r w:rsidRPr="000E2F12">
        <w:rPr>
          <w:rFonts w:eastAsiaTheme="minorHAnsi"/>
          <w:i w:val="0"/>
          <w:sz w:val="22"/>
          <w:szCs w:val="22"/>
          <w:lang w:eastAsia="en-US"/>
        </w:rPr>
        <w:t xml:space="preserve"> de la República ejercer por conducto de la Superintendencia de la Economía Solidaria, las funciones de inspección, vigilancia y control de las cooperativas y de las organizaciones de la Economía Solidaria, que no se encuentren bajo la supervisión especializada del Estado. </w:t>
      </w:r>
    </w:p>
    <w:p w14:paraId="3C604964" w14:textId="77777777" w:rsidR="00BE279A" w:rsidRPr="000E2F12" w:rsidRDefault="00BE279A" w:rsidP="00BE279A">
      <w:pPr>
        <w:spacing w:line="276" w:lineRule="auto"/>
        <w:jc w:val="both"/>
        <w:rPr>
          <w:rFonts w:eastAsiaTheme="minorHAnsi"/>
          <w:i w:val="0"/>
          <w:sz w:val="22"/>
          <w:szCs w:val="22"/>
          <w:lang w:eastAsia="en-US"/>
        </w:rPr>
      </w:pPr>
    </w:p>
    <w:p w14:paraId="54EC6236" w14:textId="77777777" w:rsidR="00BE279A" w:rsidRPr="000E2F12" w:rsidRDefault="00BE279A" w:rsidP="00BE279A">
      <w:pPr>
        <w:spacing w:line="276" w:lineRule="auto"/>
        <w:jc w:val="both"/>
        <w:rPr>
          <w:rFonts w:eastAsiaTheme="minorHAnsi"/>
          <w:i w:val="0"/>
          <w:sz w:val="22"/>
          <w:szCs w:val="22"/>
          <w:lang w:eastAsia="en-US"/>
        </w:rPr>
      </w:pPr>
      <w:r w:rsidRPr="000E2F12">
        <w:rPr>
          <w:rFonts w:eastAsiaTheme="minorHAnsi"/>
          <w:i w:val="0"/>
          <w:sz w:val="22"/>
          <w:szCs w:val="22"/>
          <w:lang w:eastAsia="en-US"/>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w:t>
      </w:r>
      <w:hyperlink r:id="rId8" w:history="1">
        <w:r w:rsidRPr="000E2F12">
          <w:rPr>
            <w:rFonts w:eastAsiaTheme="minorHAnsi"/>
            <w:i w:val="0"/>
            <w:lang w:eastAsia="en-US"/>
          </w:rPr>
          <w:t>Constitución Política</w:t>
        </w:r>
      </w:hyperlink>
      <w:r w:rsidRPr="000E2F12">
        <w:rPr>
          <w:rFonts w:eastAsiaTheme="minorHAnsi"/>
          <w:i w:val="0"/>
          <w:sz w:val="22"/>
          <w:szCs w:val="22"/>
          <w:lang w:eastAsia="en-US"/>
        </w:rPr>
        <w:t xml:space="preserve"> y las leyes.</w:t>
      </w:r>
    </w:p>
    <w:p w14:paraId="0B808624" w14:textId="77777777" w:rsidR="00BE279A" w:rsidRPr="000E2F12" w:rsidRDefault="00BE279A" w:rsidP="00BE279A">
      <w:pPr>
        <w:spacing w:line="276" w:lineRule="auto"/>
        <w:jc w:val="both"/>
        <w:rPr>
          <w:rFonts w:eastAsiaTheme="minorHAnsi"/>
          <w:i w:val="0"/>
          <w:sz w:val="22"/>
          <w:szCs w:val="22"/>
          <w:lang w:eastAsia="en-US"/>
        </w:rPr>
      </w:pPr>
    </w:p>
    <w:p w14:paraId="5CA6C25B" w14:textId="77777777" w:rsidR="00BE279A" w:rsidRPr="000E2F12" w:rsidRDefault="00BE279A" w:rsidP="00BE279A">
      <w:pPr>
        <w:spacing w:line="276" w:lineRule="auto"/>
        <w:jc w:val="both"/>
        <w:rPr>
          <w:rFonts w:eastAsiaTheme="minorHAnsi"/>
          <w:i w:val="0"/>
          <w:sz w:val="22"/>
          <w:szCs w:val="22"/>
          <w:lang w:eastAsia="en-US"/>
        </w:rPr>
      </w:pPr>
      <w:r w:rsidRPr="000E2F12">
        <w:rPr>
          <w:rFonts w:eastAsiaTheme="minorHAnsi"/>
          <w:i w:val="0"/>
          <w:sz w:val="22"/>
          <w:szCs w:val="22"/>
          <w:lang w:eastAsia="en-US"/>
        </w:rPr>
        <w:t>Aunado a lo anterior, en virtud de lo dispuesto en el artículo 36 de la precitada ley, son funciones de la Superintendencia de la Economía Solidaria, entre otras, la consagrada en el numeral 22 que a su tenor reza:  </w:t>
      </w:r>
    </w:p>
    <w:p w14:paraId="047B0E81" w14:textId="77777777" w:rsidR="00BE279A" w:rsidRDefault="00BE279A" w:rsidP="00BE279A"/>
    <w:p w14:paraId="7FE81E7C" w14:textId="77777777" w:rsidR="00BE279A" w:rsidRDefault="00BE279A" w:rsidP="00BE279A">
      <w:pPr>
        <w:pStyle w:val="NormalWeb"/>
        <w:spacing w:before="0" w:after="0"/>
        <w:ind w:left="720"/>
        <w:jc w:val="both"/>
      </w:pPr>
      <w:r>
        <w:rPr>
          <w:rFonts w:ascii="Arial" w:hAnsi="Arial" w:cs="Arial"/>
          <w:i/>
          <w:iCs/>
          <w:color w:val="000000"/>
          <w:sz w:val="20"/>
          <w:szCs w:val="20"/>
        </w:rPr>
        <w:t>“Instruir a las instituciones vigiladas sobre la manera como deben cumplirse las disposiciones que rigen su actividad, fijar los criterios técnicos y jurídicos que faciliten el cumplimiento de tales normas y señalar los procedimientos para su cabal aplicación.”</w:t>
      </w:r>
    </w:p>
    <w:p w14:paraId="06E68106" w14:textId="77777777" w:rsidR="00BE279A" w:rsidRPr="000E2F12" w:rsidRDefault="00BE279A" w:rsidP="00BE279A">
      <w:pPr>
        <w:spacing w:line="276" w:lineRule="auto"/>
        <w:jc w:val="both"/>
        <w:rPr>
          <w:rFonts w:eastAsiaTheme="minorHAnsi"/>
          <w:i w:val="0"/>
          <w:sz w:val="22"/>
          <w:szCs w:val="22"/>
          <w:lang w:eastAsia="en-US"/>
        </w:rPr>
      </w:pPr>
    </w:p>
    <w:p w14:paraId="53F06DF6" w14:textId="77777777" w:rsidR="00BE279A" w:rsidRPr="000E2F12" w:rsidRDefault="00BE279A" w:rsidP="00BE279A">
      <w:pPr>
        <w:spacing w:line="276" w:lineRule="auto"/>
        <w:jc w:val="both"/>
        <w:rPr>
          <w:rFonts w:eastAsiaTheme="minorHAnsi"/>
          <w:i w:val="0"/>
          <w:sz w:val="22"/>
          <w:szCs w:val="22"/>
          <w:lang w:eastAsia="en-US"/>
        </w:rPr>
      </w:pPr>
      <w:r w:rsidRPr="000E2F12">
        <w:rPr>
          <w:rFonts w:eastAsiaTheme="minorHAnsi"/>
          <w:i w:val="0"/>
          <w:sz w:val="22"/>
          <w:szCs w:val="22"/>
          <w:lang w:eastAsia="en-US"/>
        </w:rPr>
        <w:lastRenderedPageBreak/>
        <w:t>En cumplimiento de dicha función, la Superintendencia de la Economía Solidaria puede instruir a las entidades sujetas a su inspección, vigilancia y control a través de Circulares Administrativas, las cuales, según los efectos que producen, son consideradas actos administrativos. </w:t>
      </w:r>
    </w:p>
    <w:p w14:paraId="49B76BB4" w14:textId="77777777" w:rsidR="00BE279A" w:rsidRPr="000E2F12" w:rsidRDefault="00BE279A" w:rsidP="00BE279A">
      <w:pPr>
        <w:spacing w:line="276" w:lineRule="auto"/>
        <w:jc w:val="both"/>
        <w:rPr>
          <w:rFonts w:eastAsiaTheme="minorHAnsi"/>
          <w:i w:val="0"/>
          <w:sz w:val="22"/>
          <w:szCs w:val="22"/>
          <w:lang w:eastAsia="en-US"/>
        </w:rPr>
      </w:pPr>
    </w:p>
    <w:p w14:paraId="1CABC377" w14:textId="77777777" w:rsidR="00BE279A" w:rsidRPr="000E2F12" w:rsidRDefault="00BE279A" w:rsidP="00BE279A">
      <w:pPr>
        <w:spacing w:line="276" w:lineRule="auto"/>
        <w:jc w:val="both"/>
        <w:rPr>
          <w:rFonts w:eastAsiaTheme="minorHAnsi"/>
          <w:i w:val="0"/>
          <w:sz w:val="22"/>
          <w:szCs w:val="22"/>
          <w:lang w:eastAsia="en-US"/>
        </w:rPr>
      </w:pPr>
      <w:r w:rsidRPr="000E2F12">
        <w:rPr>
          <w:rFonts w:eastAsiaTheme="minorHAnsi"/>
          <w:i w:val="0"/>
          <w:sz w:val="22"/>
          <w:szCs w:val="22"/>
          <w:lang w:eastAsia="en-US"/>
        </w:rPr>
        <w:t>En consecuencia, en ejercicio de la facultad de instruir del artículo 36, la Supersolidaria expidió la Circular Básica Contable y Financiera actualizada por medio de la Circular Externa 22 de 2020, que entró en vigencia con la publicación en el Diario Oficial No. 51.570 del 27 de enero de 2021.</w:t>
      </w:r>
    </w:p>
    <w:p w14:paraId="0476755D" w14:textId="77777777" w:rsidR="00BE279A" w:rsidRDefault="00BE279A" w:rsidP="00BE279A">
      <w:pPr>
        <w:spacing w:line="276" w:lineRule="auto"/>
        <w:jc w:val="both"/>
        <w:rPr>
          <w:rFonts w:eastAsiaTheme="minorHAnsi"/>
          <w:i w:val="0"/>
          <w:sz w:val="22"/>
          <w:szCs w:val="22"/>
          <w:lang w:eastAsia="en-US"/>
        </w:rPr>
      </w:pPr>
    </w:p>
    <w:p w14:paraId="4F812F0D" w14:textId="77777777" w:rsidR="00BE279A" w:rsidRDefault="00BE279A" w:rsidP="00BE279A">
      <w:pPr>
        <w:spacing w:line="276" w:lineRule="auto"/>
        <w:jc w:val="both"/>
        <w:rPr>
          <w:rFonts w:eastAsiaTheme="minorHAnsi"/>
          <w:i w:val="0"/>
          <w:sz w:val="22"/>
          <w:szCs w:val="22"/>
          <w:lang w:eastAsia="en-US"/>
        </w:rPr>
      </w:pPr>
      <w:r>
        <w:rPr>
          <w:rFonts w:eastAsiaTheme="minorHAnsi"/>
          <w:i w:val="0"/>
          <w:sz w:val="22"/>
          <w:szCs w:val="22"/>
          <w:lang w:eastAsia="en-US"/>
        </w:rPr>
        <w:t>A</w:t>
      </w:r>
      <w:r w:rsidRPr="000E2F12">
        <w:rPr>
          <w:rFonts w:eastAsiaTheme="minorHAnsi"/>
          <w:i w:val="0"/>
          <w:sz w:val="22"/>
          <w:szCs w:val="22"/>
          <w:lang w:eastAsia="en-US"/>
        </w:rPr>
        <w:t xml:space="preserve"> través del Capítulo II, Título IV de la Circular Básica Contable y Financiera, expedida a través de la Circular Externa 22 de 2020</w:t>
      </w:r>
      <w:r>
        <w:rPr>
          <w:rFonts w:eastAsiaTheme="minorHAnsi"/>
          <w:i w:val="0"/>
          <w:sz w:val="22"/>
          <w:szCs w:val="22"/>
          <w:lang w:eastAsia="en-US"/>
        </w:rPr>
        <w:t>, la Superintendencia de la Economía Solidaria impartió instrucciones respecto al Sistema de Administración del Riesgo de Crédito (SARC), incluidos los lineamentos que se deben seguir para el cálculo del deterioro,</w:t>
      </w:r>
      <w:r w:rsidRPr="000E2F12">
        <w:rPr>
          <w:rFonts w:eastAsiaTheme="minorHAnsi"/>
          <w:i w:val="0"/>
          <w:sz w:val="22"/>
          <w:szCs w:val="22"/>
          <w:lang w:eastAsia="en-US"/>
        </w:rPr>
        <w:t xml:space="preserve"> </w:t>
      </w:r>
      <w:r>
        <w:rPr>
          <w:rFonts w:eastAsiaTheme="minorHAnsi"/>
          <w:i w:val="0"/>
          <w:sz w:val="22"/>
          <w:szCs w:val="22"/>
          <w:lang w:eastAsia="en-US"/>
        </w:rPr>
        <w:t>y el cronograma para su implementación.</w:t>
      </w:r>
    </w:p>
    <w:p w14:paraId="47CE3F04" w14:textId="77777777" w:rsidR="00305EC3" w:rsidRDefault="00305EC3" w:rsidP="00305EC3">
      <w:pPr>
        <w:spacing w:line="276" w:lineRule="auto"/>
        <w:jc w:val="both"/>
        <w:rPr>
          <w:rFonts w:eastAsiaTheme="minorHAnsi"/>
          <w:i w:val="0"/>
          <w:sz w:val="22"/>
          <w:szCs w:val="22"/>
          <w:lang w:eastAsia="en-US"/>
        </w:rPr>
      </w:pPr>
    </w:p>
    <w:p w14:paraId="4E545ADD" w14:textId="77777777" w:rsidR="00305EC3" w:rsidRDefault="00305EC3" w:rsidP="00305EC3">
      <w:pPr>
        <w:spacing w:line="276" w:lineRule="auto"/>
        <w:jc w:val="both"/>
        <w:rPr>
          <w:rFonts w:eastAsiaTheme="minorHAnsi"/>
          <w:i w:val="0"/>
          <w:sz w:val="22"/>
          <w:szCs w:val="22"/>
          <w:lang w:eastAsia="en-US"/>
        </w:rPr>
      </w:pPr>
      <w:r>
        <w:rPr>
          <w:rFonts w:eastAsiaTheme="minorHAnsi"/>
          <w:i w:val="0"/>
          <w:sz w:val="22"/>
          <w:szCs w:val="22"/>
          <w:lang w:eastAsia="en-US"/>
        </w:rPr>
        <w:t xml:space="preserve">No obstante, como resultado del análisis realizado por esta Superintendencia y la atención a las inquietudes recibidas del sector, se hace necesario modificar el </w:t>
      </w:r>
      <w:r>
        <w:rPr>
          <w:rFonts w:eastAsiaTheme="minorHAnsi"/>
          <w:b/>
          <w:bCs/>
          <w:i w:val="0"/>
          <w:sz w:val="22"/>
          <w:szCs w:val="22"/>
          <w:lang w:eastAsia="en-US"/>
        </w:rPr>
        <w:t>Modelo de Pérdida Esperada</w:t>
      </w:r>
      <w:r>
        <w:rPr>
          <w:rFonts w:eastAsiaTheme="minorHAnsi"/>
          <w:i w:val="0"/>
          <w:sz w:val="22"/>
          <w:szCs w:val="22"/>
          <w:lang w:eastAsia="en-US"/>
        </w:rPr>
        <w:t xml:space="preserve"> contenido en el Anexo 2 del Capítulo II, del Título IV, Sistema de Administración de Riesgo de Crédito y su cronograma respectivo de implementación, al igual que otros aspectos generales del capítulo.</w:t>
      </w:r>
    </w:p>
    <w:p w14:paraId="152EA508" w14:textId="77777777" w:rsidR="00305EC3" w:rsidRDefault="00305EC3" w:rsidP="00305EC3">
      <w:pPr>
        <w:spacing w:line="276" w:lineRule="auto"/>
        <w:jc w:val="both"/>
        <w:rPr>
          <w:rFonts w:eastAsiaTheme="minorHAnsi"/>
          <w:i w:val="0"/>
          <w:sz w:val="22"/>
          <w:szCs w:val="22"/>
          <w:lang w:eastAsia="en-US"/>
        </w:rPr>
      </w:pPr>
    </w:p>
    <w:p w14:paraId="76102A89" w14:textId="4B2242DB" w:rsidR="00BA1C5E" w:rsidRDefault="00BA1C5E" w:rsidP="00BA1C5E">
      <w:pPr>
        <w:spacing w:line="276" w:lineRule="auto"/>
        <w:jc w:val="both"/>
        <w:rPr>
          <w:rFonts w:eastAsiaTheme="minorHAnsi"/>
          <w:i w:val="0"/>
          <w:sz w:val="22"/>
          <w:szCs w:val="22"/>
          <w:lang w:eastAsia="en-US"/>
        </w:rPr>
      </w:pPr>
      <w:r>
        <w:rPr>
          <w:rFonts w:eastAsiaTheme="minorHAnsi"/>
          <w:i w:val="0"/>
          <w:sz w:val="22"/>
          <w:szCs w:val="22"/>
          <w:lang w:eastAsia="en-US"/>
        </w:rPr>
        <w:t xml:space="preserve">Así mismo, esta Superintendencia ha considerado pertinente precisar conceptos en relación con las modalidades de la cartera de créditos productivos, teniendo en cuenta las disposiciones contenidas en el decreto 2555 de 2010, modificado por el decreto 455 de 2023, en donde se elimina la evaluación del nivel de endeudamiento global del asociado para determinar la modalidad de crédito en la que se debe clasificar la obligación y se crean nuevas modalidades para la certificación de la tasa de interés por parte de la Superfinanciera. Sin embargo, a partir de la evaluación realizada frente a la gestión del riesgo de crédito y los gastos por deterioro entre una y otra modalidad, se determinó mantener la evaluación por endeudamiento. </w:t>
      </w:r>
    </w:p>
    <w:p w14:paraId="653CCED7" w14:textId="77777777" w:rsidR="00BA1C5E" w:rsidRDefault="00BA1C5E" w:rsidP="00BA1C5E">
      <w:pPr>
        <w:spacing w:line="276" w:lineRule="auto"/>
        <w:jc w:val="both"/>
        <w:rPr>
          <w:rFonts w:eastAsiaTheme="minorHAnsi"/>
          <w:i w:val="0"/>
          <w:sz w:val="22"/>
          <w:szCs w:val="22"/>
          <w:lang w:eastAsia="en-US"/>
        </w:rPr>
      </w:pPr>
    </w:p>
    <w:p w14:paraId="68D7FEB8" w14:textId="77777777" w:rsidR="00BA1C5E" w:rsidRDefault="00BA1C5E" w:rsidP="00BA1C5E">
      <w:pPr>
        <w:spacing w:line="276" w:lineRule="auto"/>
        <w:jc w:val="both"/>
        <w:rPr>
          <w:rFonts w:eastAsiaTheme="minorHAnsi"/>
          <w:i w:val="0"/>
          <w:sz w:val="22"/>
          <w:szCs w:val="22"/>
          <w:lang w:eastAsia="en-US"/>
        </w:rPr>
      </w:pPr>
      <w:r>
        <w:rPr>
          <w:rFonts w:eastAsiaTheme="minorHAnsi"/>
          <w:i w:val="0"/>
          <w:sz w:val="22"/>
          <w:szCs w:val="22"/>
          <w:lang w:eastAsia="en-US"/>
        </w:rPr>
        <w:lastRenderedPageBreak/>
        <w:t>Adicionalmente, se ajusta el Catálogo Único de Información Financiera con Fines de Supervisión, en las cuentas de orden, con el objetivo de reflejar información detallada frente a la morosidad de la cartera de créditos.</w:t>
      </w:r>
    </w:p>
    <w:p w14:paraId="60D13260" w14:textId="77777777" w:rsidR="004C7E54" w:rsidRDefault="004C7E54" w:rsidP="00305EC3">
      <w:pPr>
        <w:spacing w:line="276" w:lineRule="auto"/>
        <w:jc w:val="both"/>
        <w:rPr>
          <w:rFonts w:eastAsiaTheme="minorHAnsi"/>
          <w:i w:val="0"/>
          <w:sz w:val="22"/>
          <w:szCs w:val="22"/>
          <w:lang w:eastAsia="en-US"/>
        </w:rPr>
      </w:pPr>
    </w:p>
    <w:p w14:paraId="0D1A4071" w14:textId="1F4CCFEB" w:rsidR="00305EC3" w:rsidRDefault="00305EC3" w:rsidP="00305EC3">
      <w:pPr>
        <w:spacing w:line="276" w:lineRule="auto"/>
        <w:jc w:val="both"/>
        <w:rPr>
          <w:rFonts w:eastAsiaTheme="minorHAnsi"/>
          <w:i w:val="0"/>
          <w:sz w:val="22"/>
          <w:szCs w:val="22"/>
          <w:lang w:eastAsia="en-US"/>
        </w:rPr>
      </w:pPr>
      <w:r>
        <w:rPr>
          <w:rFonts w:eastAsiaTheme="minorHAnsi"/>
          <w:i w:val="0"/>
          <w:sz w:val="22"/>
          <w:szCs w:val="22"/>
          <w:lang w:eastAsia="en-US"/>
        </w:rPr>
        <w:t xml:space="preserve">Por lo anterior, esta Superintendencia en ejercicio de las facultades legales conferidas en el numeral 22 del artículo 36 de la Ley 454 de 1998, imparte las siguientes instrucciones: </w:t>
      </w:r>
    </w:p>
    <w:p w14:paraId="4326DDBB" w14:textId="77777777" w:rsidR="00305EC3" w:rsidRDefault="00305EC3" w:rsidP="00305EC3">
      <w:pPr>
        <w:spacing w:line="276" w:lineRule="auto"/>
        <w:jc w:val="both"/>
        <w:rPr>
          <w:b/>
          <w:bCs/>
        </w:rPr>
      </w:pPr>
      <w:r>
        <w:rPr>
          <w:rFonts w:eastAsiaTheme="minorHAnsi"/>
          <w:i w:val="0"/>
          <w:sz w:val="22"/>
          <w:szCs w:val="22"/>
          <w:lang w:eastAsia="en-US"/>
        </w:rPr>
        <w:t xml:space="preserve"> </w:t>
      </w:r>
    </w:p>
    <w:p w14:paraId="45152EFE" w14:textId="77777777" w:rsidR="00305EC3" w:rsidRDefault="00305EC3" w:rsidP="00305EC3">
      <w:pPr>
        <w:pStyle w:val="Sinespaciado"/>
        <w:spacing w:line="276" w:lineRule="auto"/>
        <w:jc w:val="both"/>
        <w:rPr>
          <w:rFonts w:ascii="Arial" w:hAnsi="Arial" w:cs="Arial"/>
          <w:b/>
          <w:bCs/>
        </w:rPr>
      </w:pPr>
      <w:r>
        <w:rPr>
          <w:rFonts w:ascii="Arial" w:hAnsi="Arial" w:cs="Arial"/>
          <w:b/>
          <w:bCs/>
        </w:rPr>
        <w:t xml:space="preserve">PRIMERA: </w:t>
      </w:r>
      <w:r>
        <w:rPr>
          <w:rFonts w:ascii="Arial" w:hAnsi="Arial" w:cs="Arial"/>
          <w:bCs/>
        </w:rPr>
        <w:t>Modificar el Capítulo II, Título IV de la Circular Básica Contable y Financiera en los siguientes numerales:</w:t>
      </w:r>
    </w:p>
    <w:p w14:paraId="58B89ADE" w14:textId="77777777" w:rsidR="00305EC3" w:rsidRDefault="00305EC3" w:rsidP="00305EC3">
      <w:pPr>
        <w:pStyle w:val="Sinespaciado"/>
        <w:spacing w:line="276" w:lineRule="auto"/>
        <w:jc w:val="both"/>
        <w:rPr>
          <w:rFonts w:ascii="Arial" w:hAnsi="Arial" w:cs="Arial"/>
          <w:b/>
          <w:bCs/>
        </w:rPr>
      </w:pPr>
    </w:p>
    <w:p w14:paraId="3D1A1343" w14:textId="77777777" w:rsidR="00305EC3" w:rsidRDefault="00305EC3" w:rsidP="00305EC3">
      <w:pPr>
        <w:pStyle w:val="Sinespaciado"/>
        <w:numPr>
          <w:ilvl w:val="0"/>
          <w:numId w:val="3"/>
        </w:numPr>
        <w:spacing w:line="276" w:lineRule="auto"/>
        <w:jc w:val="both"/>
        <w:rPr>
          <w:rFonts w:ascii="Arial" w:hAnsi="Arial" w:cs="Arial"/>
        </w:rPr>
      </w:pPr>
      <w:r>
        <w:rPr>
          <w:rFonts w:ascii="Arial" w:hAnsi="Arial" w:cs="Arial"/>
        </w:rPr>
        <w:t>Adicionar el numeral 3.1.3.1. “Crédito productivo de mayor monto”, al numeral 3.1.3. “Crédito comercial u ordinario”.</w:t>
      </w:r>
    </w:p>
    <w:p w14:paraId="2C61B84C" w14:textId="77777777" w:rsidR="00305EC3" w:rsidRDefault="00305EC3" w:rsidP="00305EC3">
      <w:pPr>
        <w:pStyle w:val="Sinespaciado"/>
        <w:numPr>
          <w:ilvl w:val="0"/>
          <w:numId w:val="3"/>
        </w:numPr>
        <w:spacing w:line="276" w:lineRule="auto"/>
        <w:jc w:val="both"/>
        <w:rPr>
          <w:rFonts w:ascii="Arial" w:hAnsi="Arial" w:cs="Arial"/>
          <w:bCs/>
        </w:rPr>
      </w:pPr>
      <w:r>
        <w:rPr>
          <w:rFonts w:ascii="Arial" w:hAnsi="Arial" w:cs="Arial"/>
          <w:bCs/>
        </w:rPr>
        <w:t xml:space="preserve">Modificar el numeral </w:t>
      </w:r>
      <w:r>
        <w:rPr>
          <w:rFonts w:ascii="Arial" w:hAnsi="Arial" w:cs="Arial"/>
        </w:rPr>
        <w:t>3.1.5. “Microcrédito”.</w:t>
      </w:r>
    </w:p>
    <w:p w14:paraId="3BE815F9" w14:textId="77777777" w:rsidR="00305EC3" w:rsidRDefault="00305EC3" w:rsidP="00305EC3">
      <w:pPr>
        <w:pStyle w:val="Sinespaciado"/>
        <w:numPr>
          <w:ilvl w:val="0"/>
          <w:numId w:val="3"/>
        </w:numPr>
        <w:spacing w:line="276" w:lineRule="auto"/>
        <w:jc w:val="both"/>
        <w:rPr>
          <w:rFonts w:ascii="Arial" w:hAnsi="Arial" w:cs="Arial"/>
          <w:bCs/>
        </w:rPr>
      </w:pPr>
      <w:r>
        <w:rPr>
          <w:rFonts w:ascii="Arial" w:hAnsi="Arial" w:cs="Arial"/>
          <w:bCs/>
        </w:rPr>
        <w:t xml:space="preserve">Modificar el numeral </w:t>
      </w:r>
      <w:r>
        <w:rPr>
          <w:rFonts w:ascii="Arial" w:hAnsi="Arial" w:cs="Arial"/>
        </w:rPr>
        <w:t>5.2.1.4.3. “Consulta a las centrales de riesgo y demás fuentes que disponga la organización solidaria vigilada”.</w:t>
      </w:r>
    </w:p>
    <w:p w14:paraId="519FCD8B" w14:textId="77777777" w:rsidR="00305EC3" w:rsidRDefault="00305EC3" w:rsidP="00305EC3">
      <w:pPr>
        <w:pStyle w:val="Sinespaciado"/>
        <w:numPr>
          <w:ilvl w:val="0"/>
          <w:numId w:val="3"/>
        </w:numPr>
        <w:spacing w:line="276" w:lineRule="auto"/>
        <w:jc w:val="both"/>
        <w:rPr>
          <w:rFonts w:ascii="Arial" w:hAnsi="Arial" w:cs="Arial"/>
        </w:rPr>
      </w:pPr>
      <w:r>
        <w:rPr>
          <w:rFonts w:ascii="Arial" w:hAnsi="Arial" w:cs="Arial"/>
          <w:bCs/>
        </w:rPr>
        <w:t>Modificar el literal g del numeral 5.2.2.2.1. “criterios de evaluación”.</w:t>
      </w:r>
    </w:p>
    <w:p w14:paraId="7A9D3066" w14:textId="77777777" w:rsidR="00305EC3" w:rsidRDefault="00305EC3" w:rsidP="00305EC3">
      <w:pPr>
        <w:pStyle w:val="Sinespaciado"/>
        <w:numPr>
          <w:ilvl w:val="0"/>
          <w:numId w:val="3"/>
        </w:numPr>
        <w:spacing w:line="276" w:lineRule="auto"/>
        <w:jc w:val="both"/>
        <w:rPr>
          <w:rFonts w:ascii="Arial" w:hAnsi="Arial" w:cs="Arial"/>
          <w:bCs/>
        </w:rPr>
      </w:pPr>
      <w:r>
        <w:rPr>
          <w:rFonts w:ascii="Arial" w:hAnsi="Arial" w:cs="Arial"/>
          <w:bCs/>
        </w:rPr>
        <w:t xml:space="preserve">Modificar el numeral </w:t>
      </w:r>
      <w:r>
        <w:rPr>
          <w:rFonts w:ascii="Arial" w:hAnsi="Arial" w:cs="Arial"/>
        </w:rPr>
        <w:t>5.3. “</w:t>
      </w:r>
      <w:r>
        <w:rPr>
          <w:rFonts w:ascii="Arial" w:hAnsi="Arial" w:cs="Arial"/>
          <w:bCs/>
        </w:rPr>
        <w:t>Modelos para la Estimación o Cuantificación de Pérdidas Esperadas”.</w:t>
      </w:r>
    </w:p>
    <w:p w14:paraId="7B56B043" w14:textId="77777777" w:rsidR="00305EC3" w:rsidRDefault="00305EC3" w:rsidP="00305EC3">
      <w:pPr>
        <w:pStyle w:val="Sinespaciado"/>
        <w:numPr>
          <w:ilvl w:val="0"/>
          <w:numId w:val="3"/>
        </w:numPr>
        <w:spacing w:line="276" w:lineRule="auto"/>
        <w:jc w:val="both"/>
        <w:rPr>
          <w:rFonts w:ascii="Arial" w:hAnsi="Arial" w:cs="Arial"/>
          <w:bCs/>
        </w:rPr>
      </w:pPr>
      <w:r>
        <w:rPr>
          <w:rFonts w:ascii="Arial" w:hAnsi="Arial" w:cs="Arial"/>
          <w:bCs/>
        </w:rPr>
        <w:t xml:space="preserve">Modificar el numeral </w:t>
      </w:r>
      <w:r>
        <w:rPr>
          <w:rFonts w:ascii="Arial" w:hAnsi="Arial" w:cs="Arial"/>
        </w:rPr>
        <w:t>5.4.1. “Deterioro General”</w:t>
      </w:r>
    </w:p>
    <w:p w14:paraId="47B4FA3E" w14:textId="77777777" w:rsidR="00305EC3" w:rsidRDefault="00305EC3" w:rsidP="00305EC3">
      <w:pPr>
        <w:pStyle w:val="Sinespaciado"/>
        <w:numPr>
          <w:ilvl w:val="0"/>
          <w:numId w:val="3"/>
        </w:numPr>
        <w:spacing w:line="276" w:lineRule="auto"/>
        <w:jc w:val="both"/>
        <w:rPr>
          <w:rFonts w:ascii="Arial" w:hAnsi="Arial" w:cs="Arial"/>
          <w:bCs/>
        </w:rPr>
      </w:pPr>
      <w:r>
        <w:rPr>
          <w:rFonts w:ascii="Arial" w:hAnsi="Arial" w:cs="Arial"/>
          <w:bCs/>
        </w:rPr>
        <w:t xml:space="preserve">Modificar el numeral </w:t>
      </w:r>
      <w:r>
        <w:rPr>
          <w:rFonts w:ascii="Arial" w:hAnsi="Arial" w:cs="Arial"/>
        </w:rPr>
        <w:t>5.4.2. “Deterioro individual”</w:t>
      </w:r>
    </w:p>
    <w:p w14:paraId="04F0F8C4" w14:textId="77777777" w:rsidR="00305EC3" w:rsidRDefault="00305EC3" w:rsidP="00305EC3">
      <w:pPr>
        <w:pStyle w:val="Sinespaciado"/>
        <w:numPr>
          <w:ilvl w:val="0"/>
          <w:numId w:val="3"/>
        </w:numPr>
        <w:spacing w:line="276" w:lineRule="auto"/>
        <w:jc w:val="both"/>
        <w:rPr>
          <w:rFonts w:ascii="Arial" w:hAnsi="Arial" w:cs="Arial"/>
          <w:bCs/>
        </w:rPr>
      </w:pPr>
      <w:r>
        <w:rPr>
          <w:rFonts w:ascii="Arial" w:hAnsi="Arial" w:cs="Arial"/>
          <w:bCs/>
        </w:rPr>
        <w:t xml:space="preserve">Modificar el numeral </w:t>
      </w:r>
      <w:r>
        <w:rPr>
          <w:rFonts w:ascii="Arial" w:hAnsi="Arial" w:cs="Arial"/>
        </w:rPr>
        <w:t>6.1. “</w:t>
      </w:r>
      <w:r>
        <w:rPr>
          <w:rFonts w:ascii="Arial" w:hAnsi="Arial" w:cs="Arial"/>
          <w:bCs/>
        </w:rPr>
        <w:t>Suspensión de la causación de intereses”.</w:t>
      </w:r>
    </w:p>
    <w:p w14:paraId="2B841B52" w14:textId="77777777" w:rsidR="00305EC3" w:rsidRDefault="00305EC3" w:rsidP="00305EC3">
      <w:pPr>
        <w:pStyle w:val="Sinespaciado"/>
        <w:spacing w:line="276" w:lineRule="auto"/>
        <w:jc w:val="both"/>
        <w:rPr>
          <w:rFonts w:ascii="Arial" w:hAnsi="Arial" w:cs="Arial"/>
          <w:b/>
          <w:bCs/>
        </w:rPr>
      </w:pPr>
    </w:p>
    <w:p w14:paraId="0618E166" w14:textId="77777777" w:rsidR="00305EC3" w:rsidRDefault="00305EC3" w:rsidP="00305EC3">
      <w:pPr>
        <w:pStyle w:val="Sinespaciado"/>
        <w:spacing w:line="276" w:lineRule="auto"/>
        <w:jc w:val="both"/>
        <w:rPr>
          <w:rFonts w:ascii="Arial" w:hAnsi="Arial" w:cs="Arial"/>
          <w:bCs/>
        </w:rPr>
      </w:pPr>
      <w:r>
        <w:rPr>
          <w:rFonts w:ascii="Arial" w:hAnsi="Arial" w:cs="Arial"/>
          <w:b/>
          <w:bCs/>
        </w:rPr>
        <w:t xml:space="preserve">SEGUNDA: </w:t>
      </w:r>
      <w:r>
        <w:rPr>
          <w:rFonts w:ascii="Arial" w:hAnsi="Arial" w:cs="Arial"/>
          <w:bCs/>
        </w:rPr>
        <w:t>Modificar el anexo 1 del Capítulo II, Título IV de la Circular Básica Contable y Financiera en los siguientes numerales:</w:t>
      </w:r>
    </w:p>
    <w:p w14:paraId="038BB9E9" w14:textId="7EAF10F7" w:rsidR="00305EC3" w:rsidRDefault="00305EC3" w:rsidP="00305EC3">
      <w:pPr>
        <w:pStyle w:val="Sinespaciado"/>
        <w:spacing w:line="276" w:lineRule="auto"/>
        <w:jc w:val="both"/>
        <w:rPr>
          <w:rFonts w:ascii="Arial" w:hAnsi="Arial" w:cs="Arial"/>
          <w:bCs/>
        </w:rPr>
      </w:pPr>
    </w:p>
    <w:p w14:paraId="2267C76F" w14:textId="77777777" w:rsidR="00305EC3" w:rsidRDefault="00305EC3" w:rsidP="00305EC3">
      <w:pPr>
        <w:pStyle w:val="Sinespaciado"/>
        <w:numPr>
          <w:ilvl w:val="0"/>
          <w:numId w:val="4"/>
        </w:numPr>
        <w:spacing w:line="276" w:lineRule="auto"/>
        <w:jc w:val="both"/>
        <w:rPr>
          <w:rFonts w:ascii="Arial" w:hAnsi="Arial" w:cs="Arial"/>
          <w:bCs/>
        </w:rPr>
      </w:pPr>
      <w:r>
        <w:rPr>
          <w:rFonts w:ascii="Arial" w:hAnsi="Arial" w:cs="Arial"/>
          <w:bCs/>
        </w:rPr>
        <w:t>Modificar el numeral 1 “Parámetros sobre la calificación de riesgo de los créditos”</w:t>
      </w:r>
    </w:p>
    <w:p w14:paraId="025AB21D" w14:textId="77777777" w:rsidR="00305EC3" w:rsidRDefault="00305EC3" w:rsidP="00305EC3">
      <w:pPr>
        <w:pStyle w:val="Sinespaciado"/>
        <w:numPr>
          <w:ilvl w:val="0"/>
          <w:numId w:val="4"/>
        </w:numPr>
        <w:spacing w:line="276" w:lineRule="auto"/>
        <w:jc w:val="both"/>
        <w:rPr>
          <w:rFonts w:ascii="Arial" w:hAnsi="Arial" w:cs="Arial"/>
          <w:bCs/>
        </w:rPr>
      </w:pPr>
      <w:r>
        <w:rPr>
          <w:rFonts w:ascii="Arial" w:hAnsi="Arial" w:cs="Arial"/>
          <w:bCs/>
        </w:rPr>
        <w:t>Modificar el numeral 4.1.” Deterioro de los créditos de consumo y comercial”.</w:t>
      </w:r>
    </w:p>
    <w:p w14:paraId="6C6FAC45" w14:textId="77777777" w:rsidR="00305EC3" w:rsidRDefault="00305EC3" w:rsidP="00305EC3">
      <w:pPr>
        <w:pStyle w:val="Prrafodelista"/>
        <w:numPr>
          <w:ilvl w:val="0"/>
          <w:numId w:val="4"/>
        </w:numPr>
        <w:shd w:val="clear" w:color="auto" w:fill="FFFFFF"/>
        <w:suppressAutoHyphens w:val="0"/>
        <w:rPr>
          <w:rFonts w:eastAsiaTheme="minorHAnsi"/>
          <w:bCs/>
          <w:i w:val="0"/>
          <w:sz w:val="22"/>
          <w:szCs w:val="22"/>
          <w:lang w:eastAsia="en-US"/>
        </w:rPr>
      </w:pPr>
      <w:r>
        <w:rPr>
          <w:rFonts w:eastAsiaTheme="minorHAnsi"/>
          <w:bCs/>
          <w:i w:val="0"/>
          <w:sz w:val="22"/>
          <w:szCs w:val="22"/>
          <w:lang w:eastAsia="en-US"/>
        </w:rPr>
        <w:t>Modificar el numeral 4.1.1. “Cálculo del deterioro para las modalidades de consumo y comercial”</w:t>
      </w:r>
    </w:p>
    <w:p w14:paraId="1330B394" w14:textId="77777777" w:rsidR="00305EC3" w:rsidRDefault="00305EC3" w:rsidP="00305EC3">
      <w:pPr>
        <w:pStyle w:val="Prrafodelista"/>
        <w:numPr>
          <w:ilvl w:val="0"/>
          <w:numId w:val="4"/>
        </w:numPr>
        <w:shd w:val="clear" w:color="auto" w:fill="FFFFFF"/>
        <w:suppressAutoHyphens w:val="0"/>
        <w:rPr>
          <w:rFonts w:eastAsiaTheme="minorHAnsi"/>
          <w:bCs/>
          <w:i w:val="0"/>
          <w:sz w:val="22"/>
          <w:szCs w:val="22"/>
          <w:lang w:eastAsia="en-US"/>
        </w:rPr>
      </w:pPr>
      <w:r>
        <w:rPr>
          <w:rFonts w:eastAsiaTheme="minorHAnsi"/>
          <w:bCs/>
          <w:i w:val="0"/>
          <w:sz w:val="22"/>
          <w:szCs w:val="22"/>
          <w:lang w:eastAsia="en-US"/>
        </w:rPr>
        <w:t>Adicionar el numeral 4.3. “Deterioro para los créditos de comercial persona jurídica”</w:t>
      </w:r>
    </w:p>
    <w:p w14:paraId="4E65FD85" w14:textId="77777777" w:rsidR="00305EC3" w:rsidRDefault="00305EC3" w:rsidP="00305EC3">
      <w:pPr>
        <w:pStyle w:val="Prrafodelista"/>
        <w:numPr>
          <w:ilvl w:val="0"/>
          <w:numId w:val="4"/>
        </w:numPr>
        <w:shd w:val="clear" w:color="auto" w:fill="FFFFFF"/>
        <w:suppressAutoHyphens w:val="0"/>
        <w:rPr>
          <w:rFonts w:eastAsiaTheme="minorHAnsi"/>
          <w:bCs/>
          <w:i w:val="0"/>
          <w:sz w:val="22"/>
          <w:szCs w:val="22"/>
          <w:lang w:eastAsia="en-US"/>
        </w:rPr>
      </w:pPr>
      <w:r>
        <w:rPr>
          <w:rFonts w:eastAsiaTheme="minorHAnsi"/>
          <w:bCs/>
          <w:i w:val="0"/>
          <w:sz w:val="22"/>
          <w:szCs w:val="22"/>
          <w:lang w:eastAsia="en-US"/>
        </w:rPr>
        <w:t>Modificar el numeral 5.1. “Tratamiento de los aportes sociales y ahorro permanente”</w:t>
      </w:r>
    </w:p>
    <w:p w14:paraId="39BBBF78" w14:textId="77777777" w:rsidR="00305EC3" w:rsidRDefault="00305EC3" w:rsidP="00305EC3">
      <w:pPr>
        <w:pStyle w:val="Sinespaciado"/>
        <w:spacing w:line="276" w:lineRule="auto"/>
        <w:jc w:val="both"/>
        <w:rPr>
          <w:rFonts w:ascii="Arial" w:hAnsi="Arial" w:cs="Arial"/>
          <w:bCs/>
        </w:rPr>
      </w:pPr>
    </w:p>
    <w:p w14:paraId="72AD2480" w14:textId="77777777" w:rsidR="00305EC3" w:rsidRDefault="00305EC3" w:rsidP="00305EC3">
      <w:pPr>
        <w:pStyle w:val="Sinespaciado"/>
        <w:spacing w:line="276" w:lineRule="auto"/>
        <w:jc w:val="both"/>
        <w:rPr>
          <w:rFonts w:ascii="Arial" w:hAnsi="Arial" w:cs="Arial"/>
          <w:bCs/>
        </w:rPr>
      </w:pPr>
      <w:r>
        <w:rPr>
          <w:rFonts w:ascii="Arial" w:hAnsi="Arial" w:cs="Arial"/>
          <w:b/>
          <w:bCs/>
        </w:rPr>
        <w:t xml:space="preserve">TERCERA: </w:t>
      </w:r>
      <w:r>
        <w:rPr>
          <w:rFonts w:ascii="Arial" w:hAnsi="Arial" w:cs="Arial"/>
          <w:bCs/>
        </w:rPr>
        <w:t>Sustituir</w:t>
      </w:r>
      <w:r>
        <w:rPr>
          <w:rFonts w:ascii="Arial" w:hAnsi="Arial" w:cs="Arial"/>
        </w:rPr>
        <w:t xml:space="preserve"> </w:t>
      </w:r>
      <w:r>
        <w:rPr>
          <w:rFonts w:ascii="Arial" w:hAnsi="Arial" w:cs="Arial"/>
          <w:bCs/>
        </w:rPr>
        <w:t>el anexo 2 del Capítulo II, Título IV de la Circular Básica Contable y Financiera.</w:t>
      </w:r>
    </w:p>
    <w:p w14:paraId="775E2E65" w14:textId="77777777" w:rsidR="00305EC3" w:rsidRDefault="00305EC3" w:rsidP="00305EC3">
      <w:pPr>
        <w:pStyle w:val="Sinespaciado"/>
        <w:spacing w:line="276" w:lineRule="auto"/>
        <w:jc w:val="both"/>
        <w:rPr>
          <w:rFonts w:ascii="Arial" w:hAnsi="Arial" w:cs="Arial"/>
          <w:bCs/>
        </w:rPr>
      </w:pPr>
    </w:p>
    <w:p w14:paraId="7326C81B" w14:textId="575FC947" w:rsidR="00305EC3" w:rsidRPr="004C7E54" w:rsidRDefault="00305EC3" w:rsidP="00305EC3">
      <w:pPr>
        <w:pStyle w:val="Sinespaciado"/>
        <w:spacing w:line="276" w:lineRule="auto"/>
        <w:jc w:val="both"/>
        <w:rPr>
          <w:rFonts w:ascii="Arial" w:hAnsi="Arial" w:cs="Arial"/>
        </w:rPr>
      </w:pPr>
      <w:r>
        <w:rPr>
          <w:rFonts w:ascii="Arial" w:hAnsi="Arial" w:cs="Arial"/>
          <w:b/>
          <w:bCs/>
        </w:rPr>
        <w:lastRenderedPageBreak/>
        <w:t xml:space="preserve">CUARTA: </w:t>
      </w:r>
      <w:r>
        <w:rPr>
          <w:rFonts w:ascii="Arial" w:hAnsi="Arial" w:cs="Arial"/>
        </w:rPr>
        <w:t xml:space="preserve">Modificar el cronograma de implementación, </w:t>
      </w:r>
      <w:r>
        <w:rPr>
          <w:rFonts w:ascii="Arial" w:hAnsi="Arial" w:cs="Arial"/>
          <w:bCs/>
        </w:rPr>
        <w:t>que hace parte del Título IV de la Circular Básica Contable y Financiera</w:t>
      </w:r>
      <w:r>
        <w:rPr>
          <w:rFonts w:ascii="Arial" w:hAnsi="Arial" w:cs="Arial"/>
        </w:rPr>
        <w:t>, respecto a la Fase III relacionada con el reporte</w:t>
      </w:r>
      <w:r w:rsidR="004C7E54">
        <w:rPr>
          <w:rFonts w:ascii="Arial" w:hAnsi="Arial" w:cs="Arial"/>
        </w:rPr>
        <w:t xml:space="preserve"> </w:t>
      </w:r>
      <w:r>
        <w:rPr>
          <w:rFonts w:ascii="Arial" w:hAnsi="Arial" w:cs="Arial"/>
        </w:rPr>
        <w:t>pedagógico del modelo pérdida esperada y Fase IV</w:t>
      </w:r>
      <w:r w:rsidR="004C7E54">
        <w:rPr>
          <w:rFonts w:ascii="Arial" w:hAnsi="Arial" w:cs="Arial"/>
        </w:rPr>
        <w:t>,</w:t>
      </w:r>
      <w:r>
        <w:rPr>
          <w:rFonts w:ascii="Arial" w:hAnsi="Arial" w:cs="Arial"/>
        </w:rPr>
        <w:t xml:space="preserve"> frente a la constitución de deterioros individuales por pérdida esperada</w:t>
      </w:r>
      <w:r w:rsidR="004C7E54">
        <w:rPr>
          <w:rFonts w:ascii="Arial" w:hAnsi="Arial" w:cs="Arial"/>
        </w:rPr>
        <w:t>,</w:t>
      </w:r>
      <w:r>
        <w:rPr>
          <w:rFonts w:ascii="Arial" w:hAnsi="Arial" w:cs="Arial"/>
        </w:rPr>
        <w:t xml:space="preserve"> </w:t>
      </w:r>
      <w:r w:rsidR="004C7E54">
        <w:rPr>
          <w:rFonts w:ascii="Arial" w:hAnsi="Arial" w:cs="Arial"/>
        </w:rPr>
        <w:t>para las líneas de crédito de</w:t>
      </w:r>
      <w:r>
        <w:rPr>
          <w:rFonts w:ascii="Arial" w:hAnsi="Arial" w:cs="Arial"/>
        </w:rPr>
        <w:t xml:space="preserve"> consumo y comercial</w:t>
      </w:r>
      <w:r>
        <w:rPr>
          <w:rFonts w:ascii="Arial" w:hAnsi="Arial" w:cs="Arial"/>
          <w:b/>
          <w:bCs/>
        </w:rPr>
        <w:t>.</w:t>
      </w:r>
    </w:p>
    <w:p w14:paraId="31D7B7E9" w14:textId="77777777" w:rsidR="00305EC3" w:rsidRDefault="00305EC3" w:rsidP="00305EC3">
      <w:pPr>
        <w:pStyle w:val="Sinespaciado"/>
        <w:spacing w:line="276" w:lineRule="auto"/>
        <w:jc w:val="both"/>
        <w:rPr>
          <w:rFonts w:ascii="Arial" w:hAnsi="Arial" w:cs="Arial"/>
          <w:b/>
          <w:bCs/>
        </w:rPr>
      </w:pPr>
    </w:p>
    <w:p w14:paraId="3BB7221D" w14:textId="77777777" w:rsidR="00305EC3" w:rsidRDefault="00305EC3" w:rsidP="00305EC3">
      <w:pPr>
        <w:pStyle w:val="Sinespaciado"/>
        <w:spacing w:line="276" w:lineRule="auto"/>
        <w:jc w:val="both"/>
        <w:rPr>
          <w:rFonts w:ascii="Arial" w:hAnsi="Arial" w:cs="Arial"/>
          <w:b/>
          <w:bCs/>
        </w:rPr>
      </w:pPr>
      <w:r>
        <w:rPr>
          <w:rFonts w:ascii="Arial" w:hAnsi="Arial" w:cs="Arial"/>
          <w:b/>
          <w:bCs/>
        </w:rPr>
        <w:t>QUINTA:</w:t>
      </w:r>
      <w:r>
        <w:rPr>
          <w:rFonts w:ascii="Arial" w:hAnsi="Arial" w:cs="Arial"/>
        </w:rPr>
        <w:t xml:space="preserve"> </w:t>
      </w:r>
      <w:r>
        <w:rPr>
          <w:rFonts w:ascii="Arial" w:hAnsi="Arial" w:cs="Arial"/>
          <w:bCs/>
        </w:rPr>
        <w:t>Adicionar las cuentas de orden por morosidad al Formato 3, Catálogo Único de Información Financiera con Fines de Supervisión, del Formulario Oficial de Rendición de Cuentas, conforme al Anexo 6 de la presente Circular.</w:t>
      </w:r>
    </w:p>
    <w:p w14:paraId="7BA47C69" w14:textId="77777777" w:rsidR="00305EC3" w:rsidRDefault="00305EC3" w:rsidP="00305EC3">
      <w:pPr>
        <w:pStyle w:val="Sinespaciado"/>
        <w:spacing w:line="276" w:lineRule="auto"/>
        <w:jc w:val="both"/>
        <w:rPr>
          <w:rFonts w:ascii="Arial" w:hAnsi="Arial" w:cs="Arial"/>
          <w:b/>
          <w:bCs/>
        </w:rPr>
      </w:pPr>
    </w:p>
    <w:p w14:paraId="7045CC17" w14:textId="77777777" w:rsidR="00305EC3" w:rsidRDefault="00305EC3" w:rsidP="00305EC3">
      <w:pPr>
        <w:pStyle w:val="Sinespaciado"/>
        <w:spacing w:line="276" w:lineRule="auto"/>
        <w:jc w:val="both"/>
        <w:rPr>
          <w:rFonts w:ascii="Arial" w:hAnsi="Arial" w:cs="Arial"/>
          <w:b/>
          <w:bCs/>
        </w:rPr>
      </w:pPr>
      <w:r>
        <w:rPr>
          <w:rFonts w:ascii="Arial" w:hAnsi="Arial" w:cs="Arial"/>
          <w:b/>
          <w:bCs/>
        </w:rPr>
        <w:t>SEXTA:</w:t>
      </w:r>
      <w:r>
        <w:rPr>
          <w:rFonts w:ascii="Arial" w:hAnsi="Arial" w:cs="Arial"/>
          <w:bCs/>
        </w:rPr>
        <w:t xml:space="preserve"> </w:t>
      </w:r>
      <w:r>
        <w:rPr>
          <w:rFonts w:ascii="Arial" w:hAnsi="Arial" w:cs="Arial"/>
        </w:rPr>
        <w:t>Conforme con lo previsto en el inciso primero del artículo 65 de la Ley 1437 de 2011, la presente Circular rige a partir de la fecha de su publicación en el Diario Oficial.</w:t>
      </w:r>
    </w:p>
    <w:p w14:paraId="42B31E3B" w14:textId="77777777" w:rsidR="00305EC3" w:rsidRDefault="00305EC3" w:rsidP="00305EC3">
      <w:pPr>
        <w:pStyle w:val="Sinespaciado"/>
        <w:spacing w:line="276" w:lineRule="auto"/>
        <w:jc w:val="both"/>
        <w:rPr>
          <w:rFonts w:ascii="Arial" w:hAnsi="Arial" w:cs="Arial"/>
          <w:bCs/>
          <w:iCs/>
        </w:rPr>
      </w:pPr>
    </w:p>
    <w:p w14:paraId="6C9BA13C" w14:textId="77777777" w:rsidR="00305EC3" w:rsidRDefault="00305EC3" w:rsidP="00305EC3">
      <w:pPr>
        <w:pStyle w:val="Sinespaciado"/>
        <w:spacing w:line="276" w:lineRule="auto"/>
        <w:jc w:val="both"/>
        <w:rPr>
          <w:rFonts w:ascii="Arial" w:hAnsi="Arial" w:cs="Arial"/>
        </w:rPr>
      </w:pPr>
      <w:r>
        <w:rPr>
          <w:rFonts w:ascii="Arial" w:hAnsi="Arial" w:cs="Arial"/>
        </w:rPr>
        <w:t>Cordialmente,</w:t>
      </w:r>
    </w:p>
    <w:p w14:paraId="298578E7" w14:textId="77777777" w:rsidR="00305EC3" w:rsidRDefault="00305EC3" w:rsidP="00305EC3">
      <w:pPr>
        <w:pStyle w:val="Sinespaciado"/>
        <w:jc w:val="both"/>
        <w:rPr>
          <w:rFonts w:ascii="Arial" w:hAnsi="Arial" w:cs="Arial"/>
        </w:rPr>
      </w:pPr>
    </w:p>
    <w:p w14:paraId="30C06ACF" w14:textId="77777777" w:rsidR="00305EC3" w:rsidRDefault="00305EC3" w:rsidP="00305EC3">
      <w:pPr>
        <w:pStyle w:val="Sinespaciado"/>
        <w:jc w:val="both"/>
        <w:rPr>
          <w:rFonts w:ascii="Arial" w:hAnsi="Arial" w:cs="Arial"/>
        </w:rPr>
      </w:pPr>
    </w:p>
    <w:p w14:paraId="60CE46D0" w14:textId="77777777" w:rsidR="00305EC3" w:rsidRDefault="00305EC3" w:rsidP="00305EC3">
      <w:pPr>
        <w:pStyle w:val="Sinespaciado"/>
        <w:jc w:val="both"/>
        <w:rPr>
          <w:rFonts w:ascii="Arial" w:hAnsi="Arial" w:cs="Arial"/>
        </w:rPr>
      </w:pPr>
    </w:p>
    <w:p w14:paraId="647F8711" w14:textId="77777777" w:rsidR="00305EC3" w:rsidRDefault="00305EC3" w:rsidP="00305EC3">
      <w:pPr>
        <w:pStyle w:val="Sinespaciado"/>
        <w:jc w:val="both"/>
        <w:rPr>
          <w:rFonts w:ascii="Arial" w:hAnsi="Arial" w:cs="Arial"/>
        </w:rPr>
      </w:pPr>
    </w:p>
    <w:p w14:paraId="0B6D961C" w14:textId="77777777" w:rsidR="00305EC3" w:rsidRDefault="00305EC3" w:rsidP="00305EC3">
      <w:pPr>
        <w:pStyle w:val="Sinespaciado"/>
        <w:jc w:val="both"/>
        <w:rPr>
          <w:rFonts w:ascii="Arial" w:hAnsi="Arial" w:cs="Arial"/>
          <w:b/>
        </w:rPr>
      </w:pPr>
      <w:r>
        <w:rPr>
          <w:rFonts w:ascii="Arial" w:hAnsi="Arial" w:cs="Arial"/>
          <w:b/>
        </w:rPr>
        <w:t>MARÍA JOSE NAVARRO MUÑOZ</w:t>
      </w:r>
    </w:p>
    <w:p w14:paraId="0624581D" w14:textId="77777777" w:rsidR="00305EC3" w:rsidRDefault="00305EC3" w:rsidP="00305EC3">
      <w:pPr>
        <w:pStyle w:val="Sinespaciado"/>
        <w:jc w:val="both"/>
        <w:rPr>
          <w:rFonts w:ascii="Arial" w:hAnsi="Arial" w:cs="Arial"/>
        </w:rPr>
      </w:pPr>
      <w:r>
        <w:rPr>
          <w:rFonts w:ascii="Arial" w:hAnsi="Arial" w:cs="Arial"/>
        </w:rPr>
        <w:t>Superintendenta de la Economía Solidaria</w:t>
      </w:r>
    </w:p>
    <w:p w14:paraId="3B54FCE5" w14:textId="77777777" w:rsidR="00305EC3" w:rsidRDefault="00305EC3" w:rsidP="00305EC3">
      <w:pPr>
        <w:suppressAutoHyphens w:val="0"/>
        <w:autoSpaceDE w:val="0"/>
        <w:autoSpaceDN w:val="0"/>
        <w:adjustRightInd w:val="0"/>
        <w:spacing w:line="276" w:lineRule="auto"/>
        <w:ind w:right="192"/>
        <w:rPr>
          <w:i w:val="0"/>
          <w:sz w:val="22"/>
          <w:szCs w:val="22"/>
          <w:lang w:eastAsia="es-ES"/>
        </w:rPr>
      </w:pPr>
    </w:p>
    <w:p w14:paraId="4676A50C" w14:textId="77777777" w:rsidR="00305EC3" w:rsidRDefault="00305EC3" w:rsidP="00305EC3">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 xml:space="preserve">Anexos: </w:t>
      </w:r>
      <w:r>
        <w:rPr>
          <w:rFonts w:ascii="Arial" w:hAnsi="Arial" w:cs="Arial"/>
          <w:sz w:val="14"/>
          <w:szCs w:val="16"/>
          <w:lang w:val="es-ES_tradnl" w:eastAsia="es-CO"/>
        </w:rPr>
        <w:tab/>
        <w:t>Hojas modificadas Circular Básica Contable y Financiera - Capítulo II SARC</w:t>
      </w:r>
    </w:p>
    <w:p w14:paraId="50A69E9E" w14:textId="77777777" w:rsidR="00305EC3" w:rsidRDefault="00305EC3" w:rsidP="00305EC3">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b/>
        <w:t>Hojas modificadas SARC Anexo 1</w:t>
      </w:r>
    </w:p>
    <w:p w14:paraId="231FE466" w14:textId="77777777" w:rsidR="00305EC3" w:rsidRDefault="00305EC3" w:rsidP="00305EC3">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SARC Anexo 2</w:t>
      </w:r>
    </w:p>
    <w:p w14:paraId="1989DE18" w14:textId="77777777" w:rsidR="00305EC3" w:rsidRDefault="00305EC3" w:rsidP="00305EC3">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Cronograma de Implementación de los diferentes riesgos</w:t>
      </w:r>
    </w:p>
    <w:p w14:paraId="591A0BAB" w14:textId="77777777" w:rsidR="00305EC3" w:rsidRDefault="00305EC3" w:rsidP="00305EC3">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Ajuste de cuentas - Catálogo único de Información Financiera con Fines de Supervisión</w:t>
      </w:r>
    </w:p>
    <w:p w14:paraId="573E8DDD" w14:textId="77777777" w:rsidR="00305EC3" w:rsidRDefault="00305EC3" w:rsidP="00305EC3">
      <w:pPr>
        <w:pStyle w:val="Sinespaciado"/>
        <w:spacing w:line="276" w:lineRule="auto"/>
        <w:ind w:right="192" w:firstLine="708"/>
        <w:jc w:val="both"/>
        <w:rPr>
          <w:rFonts w:ascii="Arial" w:hAnsi="Arial" w:cs="Arial"/>
          <w:sz w:val="14"/>
          <w:szCs w:val="16"/>
          <w:lang w:val="es-ES_tradnl" w:eastAsia="es-CO"/>
        </w:rPr>
      </w:pPr>
    </w:p>
    <w:p w14:paraId="15D542F6" w14:textId="77777777" w:rsidR="00305EC3" w:rsidRDefault="00305EC3" w:rsidP="00305EC3">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Proyectó:</w:t>
      </w:r>
      <w:r>
        <w:rPr>
          <w:rFonts w:ascii="Arial" w:hAnsi="Arial" w:cs="Arial"/>
          <w:sz w:val="14"/>
          <w:szCs w:val="16"/>
          <w:lang w:val="es-ES_tradnl" w:eastAsia="es-CO"/>
        </w:rPr>
        <w:tab/>
        <w:t xml:space="preserve">Diana Marcela Forero </w:t>
      </w:r>
      <w:proofErr w:type="spellStart"/>
      <w:r>
        <w:rPr>
          <w:rFonts w:ascii="Arial" w:hAnsi="Arial" w:cs="Arial"/>
          <w:sz w:val="14"/>
          <w:szCs w:val="16"/>
          <w:lang w:val="es-ES_tradnl" w:eastAsia="es-CO"/>
        </w:rPr>
        <w:t>Forero</w:t>
      </w:r>
      <w:proofErr w:type="spellEnd"/>
    </w:p>
    <w:p w14:paraId="31768B85" w14:textId="2C068062" w:rsidR="00305EC3" w:rsidRDefault="00305EC3" w:rsidP="00305EC3">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b/>
        <w:t>Andrea Carolina Bonilla Cuervo</w:t>
      </w:r>
    </w:p>
    <w:p w14:paraId="2BD330FA" w14:textId="77777777" w:rsidR="00305EC3" w:rsidRDefault="00305EC3" w:rsidP="00305EC3">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Gladys Veloza Cortés</w:t>
      </w:r>
    </w:p>
    <w:p w14:paraId="600AC17B" w14:textId="77777777" w:rsidR="00305EC3" w:rsidRDefault="00305EC3" w:rsidP="00305EC3">
      <w:pPr>
        <w:pStyle w:val="Sinespaciado"/>
        <w:spacing w:line="276" w:lineRule="auto"/>
        <w:ind w:left="708" w:right="192"/>
        <w:jc w:val="both"/>
        <w:rPr>
          <w:rFonts w:ascii="Arial" w:hAnsi="Arial" w:cs="Arial"/>
          <w:sz w:val="14"/>
          <w:szCs w:val="16"/>
          <w:lang w:val="es-ES_tradnl" w:eastAsia="es-CO"/>
        </w:rPr>
      </w:pPr>
      <w:proofErr w:type="spellStart"/>
      <w:r>
        <w:rPr>
          <w:rFonts w:ascii="Arial" w:hAnsi="Arial" w:cs="Arial"/>
          <w:sz w:val="14"/>
          <w:szCs w:val="16"/>
          <w:lang w:val="es-ES_tradnl" w:eastAsia="es-CO"/>
        </w:rPr>
        <w:t>Marelvi</w:t>
      </w:r>
      <w:proofErr w:type="spellEnd"/>
      <w:r>
        <w:rPr>
          <w:rFonts w:ascii="Arial" w:hAnsi="Arial" w:cs="Arial"/>
          <w:sz w:val="14"/>
          <w:szCs w:val="16"/>
          <w:lang w:val="es-ES_tradnl" w:eastAsia="es-CO"/>
        </w:rPr>
        <w:t xml:space="preserve"> Bernal </w:t>
      </w:r>
      <w:proofErr w:type="spellStart"/>
      <w:r>
        <w:rPr>
          <w:rFonts w:ascii="Arial" w:hAnsi="Arial" w:cs="Arial"/>
          <w:sz w:val="14"/>
          <w:szCs w:val="16"/>
          <w:lang w:val="es-ES_tradnl" w:eastAsia="es-CO"/>
        </w:rPr>
        <w:t>Nempeque</w:t>
      </w:r>
      <w:proofErr w:type="spellEnd"/>
    </w:p>
    <w:p w14:paraId="17AD83A6" w14:textId="77777777" w:rsidR="00305EC3" w:rsidRDefault="00305EC3" w:rsidP="00305EC3">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b/>
      </w:r>
    </w:p>
    <w:p w14:paraId="76A0235C" w14:textId="53E0A74B" w:rsidR="00305EC3" w:rsidRDefault="00305EC3" w:rsidP="00305EC3">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 xml:space="preserve">Revisó:   </w:t>
      </w:r>
      <w:r>
        <w:rPr>
          <w:rFonts w:ascii="Arial" w:hAnsi="Arial" w:cs="Arial"/>
          <w:sz w:val="14"/>
          <w:szCs w:val="16"/>
          <w:lang w:val="es-ES_tradnl" w:eastAsia="es-CO"/>
        </w:rPr>
        <w:tab/>
        <w:t>Eduard Fernando Martínez González</w:t>
      </w:r>
    </w:p>
    <w:p w14:paraId="78797921" w14:textId="77777777" w:rsidR="00305EC3" w:rsidRDefault="00305EC3" w:rsidP="00305EC3">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Bernardo Ortiz Posada</w:t>
      </w:r>
    </w:p>
    <w:p w14:paraId="6728D8CD" w14:textId="77777777" w:rsidR="00305EC3" w:rsidRDefault="00305EC3" w:rsidP="00305EC3">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 xml:space="preserve">Jhaniela Jiménez Gutiérrez </w:t>
      </w:r>
    </w:p>
    <w:p w14:paraId="05C2EE1C" w14:textId="0FA7D35F" w:rsidR="001677C9" w:rsidRPr="000C0C1F" w:rsidRDefault="00305EC3" w:rsidP="00BA1C5E">
      <w:pPr>
        <w:pStyle w:val="Sinespaciado"/>
        <w:spacing w:line="276" w:lineRule="auto"/>
        <w:ind w:right="192" w:firstLine="708"/>
        <w:jc w:val="both"/>
        <w:rPr>
          <w:sz w:val="18"/>
          <w:szCs w:val="18"/>
          <w:lang w:val="es-MX"/>
        </w:rPr>
      </w:pPr>
      <w:r>
        <w:rPr>
          <w:rFonts w:ascii="Arial" w:hAnsi="Arial" w:cs="Arial"/>
          <w:sz w:val="14"/>
          <w:szCs w:val="16"/>
          <w:lang w:val="es-ES_tradnl" w:eastAsia="es-CO"/>
        </w:rPr>
        <w:t xml:space="preserve">Beatriz Leonela Lizcano Castro </w:t>
      </w:r>
    </w:p>
    <w:sectPr w:rsidR="001677C9" w:rsidRPr="000C0C1F" w:rsidSect="00E20347">
      <w:headerReference w:type="default" r:id="rId9"/>
      <w:footerReference w:type="default" r:id="rId10"/>
      <w:headerReference w:type="first" r:id="rId11"/>
      <w:footerReference w:type="first" r:id="rId12"/>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13BB" w14:textId="77777777" w:rsidR="00166491" w:rsidRDefault="00166491">
      <w:r>
        <w:separator/>
      </w:r>
    </w:p>
  </w:endnote>
  <w:endnote w:type="continuationSeparator" w:id="0">
    <w:p w14:paraId="7563440F" w14:textId="77777777" w:rsidR="00166491" w:rsidRDefault="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0624" w14:textId="0CA7B6DA" w:rsidR="009B02E7" w:rsidRDefault="00B16792">
    <w:pPr>
      <w:pStyle w:val="Piedepgina"/>
    </w:pPr>
    <w:r>
      <w:rPr>
        <w:noProof/>
        <w:lang w:eastAsia="es-CO"/>
      </w:rPr>
      <w:drawing>
        <wp:anchor distT="0" distB="0" distL="114300" distR="114300" simplePos="0" relativeHeight="251696128" behindDoc="0" locked="0" layoutInCell="1" allowOverlap="1" wp14:anchorId="04E170F9" wp14:editId="3746E90C">
          <wp:simplePos x="0" y="0"/>
          <wp:positionH relativeFrom="column">
            <wp:posOffset>-1051560</wp:posOffset>
          </wp:positionH>
          <wp:positionV relativeFrom="paragraph">
            <wp:posOffset>137795</wp:posOffset>
          </wp:positionV>
          <wp:extent cx="7729479" cy="1424202"/>
          <wp:effectExtent l="0" t="0" r="508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9479" cy="1424202"/>
                  </a:xfrm>
                  <a:prstGeom prst="rect">
                    <a:avLst/>
                  </a:prstGeom>
                </pic:spPr>
              </pic:pic>
            </a:graphicData>
          </a:graphic>
          <wp14:sizeRelH relativeFrom="margin">
            <wp14:pctWidth>0</wp14:pctWidth>
          </wp14:sizeRelH>
          <wp14:sizeRelV relativeFrom="margin">
            <wp14:pctHeight>0</wp14:pctHeight>
          </wp14:sizeRelV>
        </wp:anchor>
      </w:drawing>
    </w:r>
  </w:p>
  <w:p w14:paraId="3B0102A4" w14:textId="4D646AFB" w:rsidR="00B16792" w:rsidRDefault="00B16792">
    <w:pPr>
      <w:pStyle w:val="Piedepgina"/>
    </w:pPr>
  </w:p>
  <w:p w14:paraId="15113217" w14:textId="5E202C90"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55893A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548E0797" w:rsidR="00B16792" w:rsidRDefault="00B16792" w:rsidP="00E20347">
    <w:pPr>
      <w:pStyle w:val="Piedepgina"/>
      <w:tabs>
        <w:tab w:val="center" w:pos="993"/>
      </w:tabs>
      <w:spacing w:line="0" w:lineRule="atLeast"/>
      <w:ind w:left="-1701"/>
      <w:rPr>
        <w:b/>
        <w:bCs/>
        <w:i w:val="0"/>
        <w:iCs/>
        <w:w w:val="200"/>
        <w:sz w:val="14"/>
        <w:szCs w:val="14"/>
      </w:rPr>
    </w:pPr>
    <w:r>
      <w:rPr>
        <w:noProof/>
        <w:lang w:eastAsia="es-CO"/>
      </w:rPr>
      <w:drawing>
        <wp:anchor distT="0" distB="0" distL="114300" distR="114300" simplePos="0" relativeHeight="251694080" behindDoc="0" locked="0" layoutInCell="1" allowOverlap="1" wp14:anchorId="230B5700" wp14:editId="4562049E">
          <wp:simplePos x="0" y="0"/>
          <wp:positionH relativeFrom="column">
            <wp:posOffset>-1051560</wp:posOffset>
          </wp:positionH>
          <wp:positionV relativeFrom="paragraph">
            <wp:posOffset>84455</wp:posOffset>
          </wp:positionV>
          <wp:extent cx="7729479" cy="1424202"/>
          <wp:effectExtent l="0" t="0" r="508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9479" cy="1424202"/>
                  </a:xfrm>
                  <a:prstGeom prst="rect">
                    <a:avLst/>
                  </a:prstGeom>
                </pic:spPr>
              </pic:pic>
            </a:graphicData>
          </a:graphic>
          <wp14:sizeRelH relativeFrom="margin">
            <wp14:pctWidth>0</wp14:pctWidth>
          </wp14:sizeRelH>
          <wp14:sizeRelV relativeFrom="margin">
            <wp14:pctHeight>0</wp14:pctHeight>
          </wp14:sizeRelV>
        </wp:anchor>
      </w:drawing>
    </w:r>
  </w:p>
  <w:p w14:paraId="075A35D3" w14:textId="5698286C" w:rsidR="00B16792" w:rsidRDefault="00B16792" w:rsidP="00E20347">
    <w:pPr>
      <w:pStyle w:val="Piedepgina"/>
      <w:tabs>
        <w:tab w:val="center" w:pos="993"/>
      </w:tabs>
      <w:spacing w:line="0" w:lineRule="atLeast"/>
      <w:ind w:left="-1701"/>
      <w:rPr>
        <w:b/>
        <w:bCs/>
        <w:i w:val="0"/>
        <w:iCs/>
        <w:w w:val="200"/>
        <w:sz w:val="14"/>
        <w:szCs w:val="14"/>
      </w:rPr>
    </w:pPr>
  </w:p>
  <w:p w14:paraId="79C79996" w14:textId="6FC32152" w:rsidR="00B16792" w:rsidRDefault="00B16792" w:rsidP="00E20347">
    <w:pPr>
      <w:pStyle w:val="Piedepgina"/>
      <w:tabs>
        <w:tab w:val="center" w:pos="993"/>
      </w:tabs>
      <w:spacing w:line="0" w:lineRule="atLeast"/>
      <w:ind w:left="-1701"/>
      <w:rPr>
        <w:b/>
        <w:bCs/>
        <w:i w:val="0"/>
        <w:iCs/>
        <w:w w:val="200"/>
        <w:sz w:val="14"/>
        <w:szCs w:val="14"/>
      </w:rPr>
    </w:pPr>
  </w:p>
  <w:p w14:paraId="02E0BF8A" w14:textId="3D9B44F0" w:rsidR="00B16792" w:rsidRDefault="00B16792" w:rsidP="00E20347">
    <w:pPr>
      <w:pStyle w:val="Piedepgina"/>
      <w:tabs>
        <w:tab w:val="center" w:pos="993"/>
      </w:tabs>
      <w:spacing w:line="0" w:lineRule="atLeast"/>
      <w:ind w:left="-1701"/>
      <w:rPr>
        <w:b/>
        <w:bCs/>
        <w:i w:val="0"/>
        <w:iCs/>
        <w:w w:val="200"/>
        <w:sz w:val="14"/>
        <w:szCs w:val="14"/>
      </w:rPr>
    </w:pPr>
  </w:p>
  <w:p w14:paraId="5A444507" w14:textId="07C69BD8" w:rsidR="00B16792" w:rsidRDefault="00B16792" w:rsidP="00E20347">
    <w:pPr>
      <w:pStyle w:val="Piedepgina"/>
      <w:tabs>
        <w:tab w:val="center" w:pos="993"/>
      </w:tabs>
      <w:spacing w:line="0" w:lineRule="atLeast"/>
      <w:ind w:left="-1701"/>
      <w:rPr>
        <w:b/>
        <w:bCs/>
        <w:i w:val="0"/>
        <w:iCs/>
        <w:w w:val="200"/>
        <w:sz w:val="14"/>
        <w:szCs w:val="14"/>
      </w:rPr>
    </w:pPr>
  </w:p>
  <w:p w14:paraId="452CCA5B" w14:textId="625BCC9D" w:rsidR="00B16792" w:rsidRDefault="00B16792" w:rsidP="00E20347">
    <w:pPr>
      <w:pStyle w:val="Piedepgina"/>
      <w:tabs>
        <w:tab w:val="center" w:pos="993"/>
      </w:tabs>
      <w:spacing w:line="0" w:lineRule="atLeast"/>
      <w:ind w:left="-1701"/>
      <w:rPr>
        <w:b/>
        <w:bCs/>
        <w:i w:val="0"/>
        <w:iCs/>
        <w:w w:val="200"/>
        <w:sz w:val="14"/>
        <w:szCs w:val="14"/>
      </w:rPr>
    </w:pPr>
  </w:p>
  <w:p w14:paraId="76C58EC7" w14:textId="127B40BA" w:rsidR="00B16792" w:rsidRDefault="00B16792" w:rsidP="00E20347">
    <w:pPr>
      <w:pStyle w:val="Piedepgina"/>
      <w:tabs>
        <w:tab w:val="center" w:pos="993"/>
      </w:tabs>
      <w:spacing w:line="0" w:lineRule="atLeast"/>
      <w:ind w:left="-1701"/>
      <w:rPr>
        <w:b/>
        <w:bCs/>
        <w:i w:val="0"/>
        <w:iCs/>
        <w:w w:val="200"/>
        <w:sz w:val="14"/>
        <w:szCs w:val="14"/>
      </w:rPr>
    </w:pPr>
  </w:p>
  <w:p w14:paraId="62F1D4B1" w14:textId="33BAB194" w:rsidR="00B16792" w:rsidRDefault="00B16792" w:rsidP="00E20347">
    <w:pPr>
      <w:pStyle w:val="Piedepgina"/>
      <w:tabs>
        <w:tab w:val="center" w:pos="993"/>
      </w:tabs>
      <w:spacing w:line="0" w:lineRule="atLeast"/>
      <w:ind w:left="-1701"/>
      <w:rPr>
        <w:b/>
        <w:bCs/>
        <w:i w:val="0"/>
        <w:iCs/>
        <w:w w:val="200"/>
        <w:sz w:val="14"/>
        <w:szCs w:val="14"/>
      </w:rPr>
    </w:pPr>
  </w:p>
  <w:p w14:paraId="373CDCA8" w14:textId="34E9D74C" w:rsidR="00B16792" w:rsidRDefault="00B16792" w:rsidP="00E20347">
    <w:pPr>
      <w:pStyle w:val="Piedepgina"/>
      <w:tabs>
        <w:tab w:val="center" w:pos="993"/>
      </w:tabs>
      <w:spacing w:line="0" w:lineRule="atLeast"/>
      <w:ind w:left="-1701"/>
      <w:rPr>
        <w:b/>
        <w:bCs/>
        <w:i w:val="0"/>
        <w:iCs/>
        <w:w w:val="200"/>
        <w:sz w:val="14"/>
        <w:szCs w:val="14"/>
      </w:rPr>
    </w:pPr>
  </w:p>
  <w:p w14:paraId="09F55647" w14:textId="23FBA934" w:rsidR="00B16792" w:rsidRDefault="00B16792" w:rsidP="00E20347">
    <w:pPr>
      <w:pStyle w:val="Piedepgina"/>
      <w:tabs>
        <w:tab w:val="center" w:pos="993"/>
      </w:tabs>
      <w:spacing w:line="0" w:lineRule="atLeast"/>
      <w:ind w:left="-1701"/>
      <w:rPr>
        <w:b/>
        <w:bCs/>
        <w:i w:val="0"/>
        <w:iCs/>
        <w:w w:val="200"/>
        <w:sz w:val="14"/>
        <w:szCs w:val="14"/>
      </w:rPr>
    </w:pPr>
  </w:p>
  <w:p w14:paraId="0896E757" w14:textId="286C9E7B" w:rsidR="00B16792" w:rsidRDefault="00B16792" w:rsidP="00E20347">
    <w:pPr>
      <w:pStyle w:val="Piedepgina"/>
      <w:tabs>
        <w:tab w:val="center" w:pos="993"/>
      </w:tabs>
      <w:spacing w:line="0" w:lineRule="atLeast"/>
      <w:ind w:left="-1701"/>
      <w:rPr>
        <w:b/>
        <w:bCs/>
        <w:i w:val="0"/>
        <w:iCs/>
        <w:w w:val="200"/>
        <w:sz w:val="14"/>
        <w:szCs w:val="14"/>
      </w:rPr>
    </w:pPr>
  </w:p>
  <w:p w14:paraId="47DF63E2" w14:textId="6693F0E9" w:rsidR="00B16792" w:rsidRDefault="00B16792" w:rsidP="00E20347">
    <w:pPr>
      <w:pStyle w:val="Piedepgina"/>
      <w:tabs>
        <w:tab w:val="center" w:pos="993"/>
      </w:tabs>
      <w:spacing w:line="0" w:lineRule="atLeast"/>
      <w:ind w:left="-1701"/>
      <w:rPr>
        <w:b/>
        <w:bCs/>
        <w:i w:val="0"/>
        <w:iCs/>
        <w:w w:val="200"/>
        <w:sz w:val="14"/>
        <w:szCs w:val="14"/>
      </w:rPr>
    </w:pPr>
  </w:p>
  <w:p w14:paraId="5AB93E15" w14:textId="77777777" w:rsidR="00B16792" w:rsidRDefault="00B16792" w:rsidP="00E20347">
    <w:pPr>
      <w:pStyle w:val="Piedepgina"/>
      <w:tabs>
        <w:tab w:val="center" w:pos="993"/>
      </w:tabs>
      <w:spacing w:line="0" w:lineRule="atLeast"/>
      <w:ind w:left="-1701"/>
      <w:rPr>
        <w:b/>
        <w:bCs/>
        <w:i w:val="0"/>
        <w:iCs/>
        <w:w w:val="200"/>
        <w:sz w:val="14"/>
        <w:szCs w:val="14"/>
      </w:rPr>
    </w:pPr>
  </w:p>
  <w:p w14:paraId="14052FF8" w14:textId="77777777" w:rsidR="00B16792" w:rsidRDefault="00B16792" w:rsidP="00E20347">
    <w:pPr>
      <w:pStyle w:val="Piedepgina"/>
      <w:tabs>
        <w:tab w:val="center" w:pos="993"/>
      </w:tabs>
      <w:spacing w:line="0" w:lineRule="atLeast"/>
      <w:ind w:left="-1701"/>
      <w:rPr>
        <w:b/>
        <w:bCs/>
        <w:i w:val="0"/>
        <w:iCs/>
        <w:w w:val="200"/>
        <w:sz w:val="14"/>
        <w:szCs w:val="14"/>
      </w:rPr>
    </w:pPr>
  </w:p>
  <w:p w14:paraId="465DEA8A" w14:textId="0F8FA04C"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44A73F7B">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0FF5" id="_x0000_t202" coordsize="21600,21600" o:spt="202" path="m,l,21600r21600,l21600,xe">
              <v:stroke joinstyle="miter"/>
              <v:path gradientshapeok="t" o:connecttype="rect"/>
            </v:shapetype>
            <v:shape id="Cuadro de texto 25" o:spid="_x0000_s1026"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82E6" w14:textId="77777777" w:rsidR="00166491" w:rsidRDefault="00166491">
      <w:r>
        <w:separator/>
      </w:r>
    </w:p>
  </w:footnote>
  <w:footnote w:type="continuationSeparator" w:id="0">
    <w:p w14:paraId="07E95031" w14:textId="77777777" w:rsidR="00166491" w:rsidRDefault="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08CF7C8C" w:rsidR="009B02E7" w:rsidRDefault="00B16792" w:rsidP="00C64ECE">
    <w:pPr>
      <w:pStyle w:val="Encabezado"/>
      <w:ind w:left="-709" w:right="-942"/>
    </w:pPr>
    <w:r>
      <w:rPr>
        <w:noProof/>
        <w:lang w:eastAsia="es-CO"/>
      </w:rPr>
      <w:drawing>
        <wp:anchor distT="0" distB="0" distL="114300" distR="114300" simplePos="0" relativeHeight="251692032" behindDoc="0" locked="0" layoutInCell="1" allowOverlap="1" wp14:anchorId="2F5DB28F" wp14:editId="7395C95B">
          <wp:simplePos x="0" y="0"/>
          <wp:positionH relativeFrom="column">
            <wp:posOffset>-1080135</wp:posOffset>
          </wp:positionH>
          <wp:positionV relativeFrom="paragraph">
            <wp:posOffset>0</wp:posOffset>
          </wp:positionV>
          <wp:extent cx="7724443" cy="17716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551" cy="1774656"/>
                  </a:xfrm>
                  <a:prstGeom prst="rect">
                    <a:avLst/>
                  </a:prstGeom>
                </pic:spPr>
              </pic:pic>
            </a:graphicData>
          </a:graphic>
          <wp14:sizeRelH relativeFrom="margin">
            <wp14:pctWidth>0</wp14:pctWidth>
          </wp14:sizeRelH>
          <wp14:sizeRelV relativeFrom="margin">
            <wp14:pctHeight>0</wp14:pctHeight>
          </wp14:sizeRelV>
        </wp:anchor>
      </w:drawing>
    </w:r>
  </w:p>
  <w:p w14:paraId="477F0E57" w14:textId="6379145D" w:rsidR="009B02E7" w:rsidRDefault="009B02E7" w:rsidP="00C64ECE">
    <w:pPr>
      <w:pStyle w:val="Encabezado"/>
      <w:ind w:left="-709" w:right="-942"/>
    </w:pP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3111C9E7" w14:textId="127B7B69" w:rsidR="00B16792" w:rsidRDefault="00B16792" w:rsidP="00C64ECE">
    <w:pPr>
      <w:pStyle w:val="Encabezado"/>
      <w:ind w:left="-709" w:right="-942"/>
    </w:pPr>
  </w:p>
  <w:p w14:paraId="263A327A" w14:textId="21AF492A" w:rsidR="00B16792" w:rsidRDefault="00B16792" w:rsidP="00C64ECE">
    <w:pPr>
      <w:pStyle w:val="Encabezado"/>
      <w:ind w:left="-709" w:right="-942"/>
    </w:pPr>
  </w:p>
  <w:p w14:paraId="5C9697BD" w14:textId="77777777"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491E953C" w:rsidR="000F7FD7" w:rsidRDefault="007A4CB6">
    <w:pPr>
      <w:ind w:right="-59"/>
      <w:rPr>
        <w:sz w:val="18"/>
        <w:szCs w:val="18"/>
      </w:rPr>
    </w:pPr>
    <w:r>
      <w:rPr>
        <w:bCs/>
        <w:sz w:val="18"/>
        <w:szCs w:val="18"/>
        <w:lang w:val="es-ES_tradnl"/>
      </w:rPr>
      <w:t>180</w:t>
    </w:r>
    <w:r w:rsidR="000F7FD7">
      <w:rPr>
        <w:bCs/>
        <w:sz w:val="18"/>
        <w:szCs w:val="18"/>
        <w:lang w:val="es-ES_tradnl"/>
      </w:rPr>
      <w:t xml:space="preserve"> - Circular Externa No. </w:t>
    </w:r>
    <w:bookmarkStart w:id="0" w:name="numassigned_2"/>
    <w:r w:rsidR="000F7FD7">
      <w:rPr>
        <w:bCs/>
        <w:sz w:val="18"/>
        <w:szCs w:val="18"/>
        <w:lang w:val="es-ES_tradnl"/>
      </w:rPr>
      <w:t xml:space="preserve">  </w:t>
    </w:r>
    <w:bookmarkEnd w:id="0"/>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11E" w14:textId="5212AD52" w:rsidR="000F7FD7" w:rsidRPr="00FA17E0" w:rsidRDefault="00B16792" w:rsidP="00305EC3">
    <w:pPr>
      <w:pStyle w:val="Encabezado"/>
      <w:ind w:left="-1701" w:right="-942"/>
      <w:rPr>
        <w:sz w:val="22"/>
        <w:szCs w:val="22"/>
      </w:rPr>
    </w:pPr>
    <w:r>
      <w:rPr>
        <w:noProof/>
        <w:lang w:eastAsia="es-CO"/>
      </w:rPr>
      <w:drawing>
        <wp:inline distT="0" distB="0" distL="0" distR="0" wp14:anchorId="61548022" wp14:editId="4D0180D9">
          <wp:extent cx="7765975" cy="178117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9551" cy="1784289"/>
                  </a:xfrm>
                  <a:prstGeom prst="rect">
                    <a:avLst/>
                  </a:prstGeom>
                </pic:spPr>
              </pic:pic>
            </a:graphicData>
          </a:graphic>
        </wp:inline>
      </w:drawing>
    </w:r>
    <w:r w:rsidR="00B868AF">
      <w:t xml:space="preserve">                                                                         </w:t>
    </w:r>
  </w:p>
  <w:p w14:paraId="7D4E841F" w14:textId="77777777" w:rsidR="00EC3A42" w:rsidRDefault="00EC3A42" w:rsidP="00EC3A42">
    <w:pPr>
      <w:pStyle w:val="Ttulo1"/>
      <w:jc w:val="center"/>
      <w:rPr>
        <w:sz w:val="28"/>
        <w:szCs w:val="28"/>
      </w:rPr>
    </w:pPr>
    <w:r>
      <w:rPr>
        <w:sz w:val="28"/>
        <w:szCs w:val="28"/>
      </w:rPr>
      <w:t>CIRCULAR EXTERNA No.</w:t>
    </w:r>
    <w:r w:rsidR="00AD1E04" w:rsidRPr="00AD1E04">
      <w:rPr>
        <w:noProof/>
        <w:lang w:val="es-ES" w:eastAsia="es-ES"/>
      </w:rPr>
      <w:t xml:space="preserve"> </w:t>
    </w:r>
    <w:r>
      <w:rPr>
        <w:sz w:val="28"/>
        <w:szCs w:val="28"/>
      </w:rPr>
      <w:t xml:space="preserve"> </w:t>
    </w:r>
    <w:bookmarkStart w:id="1" w:name="numassigned"/>
    <w:r>
      <w:rPr>
        <w:sz w:val="28"/>
        <w:szCs w:val="28"/>
      </w:rPr>
      <w:t xml:space="preserve">  </w:t>
    </w:r>
    <w:bookmarkEnd w:id="1"/>
  </w:p>
  <w:p w14:paraId="632DF26C" w14:textId="77777777" w:rsidR="00EC3A42" w:rsidRDefault="00EC3A42" w:rsidP="00EC3A42">
    <w:pPr>
      <w:rPr>
        <w:b/>
        <w:bCs/>
        <w:i w:val="0"/>
      </w:rPr>
    </w:pPr>
  </w:p>
  <w:tbl>
    <w:tblPr>
      <w:tblW w:w="0" w:type="auto"/>
      <w:tblLook w:val="00A0" w:firstRow="1" w:lastRow="0" w:firstColumn="1" w:lastColumn="0" w:noHBand="0" w:noVBand="0"/>
    </w:tblPr>
    <w:tblGrid>
      <w:gridCol w:w="1518"/>
      <w:gridCol w:w="7605"/>
    </w:tblGrid>
    <w:tr w:rsidR="00EC3A42" w14:paraId="54368F7E" w14:textId="77777777" w:rsidTr="00DD2F81">
      <w:tc>
        <w:tcPr>
          <w:tcW w:w="1526" w:type="dxa"/>
        </w:tcPr>
        <w:p w14:paraId="74BA16F6" w14:textId="77777777" w:rsidR="00EC3A42" w:rsidRPr="007922E4" w:rsidRDefault="00EC3A42" w:rsidP="00EC3A42">
          <w:pPr>
            <w:rPr>
              <w:b/>
              <w:bCs/>
              <w:i w:val="0"/>
            </w:rPr>
          </w:pPr>
          <w:r w:rsidRPr="007922E4">
            <w:rPr>
              <w:b/>
              <w:bCs/>
              <w:i w:val="0"/>
              <w:sz w:val="22"/>
              <w:szCs w:val="22"/>
            </w:rPr>
            <w:t>PARA:</w:t>
          </w:r>
        </w:p>
      </w:tc>
      <w:tc>
        <w:tcPr>
          <w:tcW w:w="7737" w:type="dxa"/>
        </w:tcPr>
        <w:p w14:paraId="42E89118" w14:textId="77777777" w:rsidR="00EC3A42" w:rsidRDefault="007A4CB6" w:rsidP="00305EC3">
          <w:pPr>
            <w:jc w:val="both"/>
            <w:rPr>
              <w:b/>
              <w:bCs/>
              <w:i w:val="0"/>
              <w:sz w:val="22"/>
              <w:szCs w:val="22"/>
            </w:rPr>
          </w:pPr>
          <w:r>
            <w:rPr>
              <w:b/>
              <w:bCs/>
              <w:i w:val="0"/>
              <w:sz w:val="22"/>
              <w:szCs w:val="22"/>
            </w:rPr>
            <w:t xml:space="preserve">REPRESENTANTES LEGALES, MIEMBROS DE LOS ÓRGANOS DE ADMINISTRACIÓN, DE CONTROL SOCIAL Y REVISORES FISCALES DE LAS ORGANIZACIONES DE ECONOMIA SOLIDARIA VIGILADAS </w:t>
          </w:r>
        </w:p>
        <w:p w14:paraId="220FD3A1" w14:textId="71897F61" w:rsidR="00305EC3" w:rsidRPr="007922E4" w:rsidRDefault="00305EC3" w:rsidP="00305EC3">
          <w:pPr>
            <w:jc w:val="both"/>
            <w:rPr>
              <w:b/>
              <w:bCs/>
              <w:i w:val="0"/>
            </w:rPr>
          </w:pPr>
        </w:p>
      </w:tc>
    </w:tr>
    <w:tr w:rsidR="00EC3A42" w14:paraId="009171FD" w14:textId="77777777" w:rsidTr="00DD2F81">
      <w:tc>
        <w:tcPr>
          <w:tcW w:w="1526" w:type="dxa"/>
        </w:tcPr>
        <w:p w14:paraId="4C2BC3F7" w14:textId="77777777" w:rsidR="00EC3A42" w:rsidRPr="007922E4" w:rsidRDefault="00EC3A42" w:rsidP="00EC3A42">
          <w:pPr>
            <w:rPr>
              <w:b/>
              <w:bCs/>
              <w:i w:val="0"/>
            </w:rPr>
          </w:pPr>
          <w:r w:rsidRPr="007922E4">
            <w:rPr>
              <w:b/>
              <w:bCs/>
              <w:i w:val="0"/>
              <w:sz w:val="22"/>
              <w:szCs w:val="22"/>
            </w:rPr>
            <w:t>DE:</w:t>
          </w:r>
        </w:p>
      </w:tc>
      <w:tc>
        <w:tcPr>
          <w:tcW w:w="7737" w:type="dxa"/>
        </w:tcPr>
        <w:p w14:paraId="1FDA4B34" w14:textId="77777777" w:rsidR="00EC3A42" w:rsidRDefault="007A4CB6" w:rsidP="00EC3A42">
          <w:pPr>
            <w:rPr>
              <w:b/>
              <w:bCs/>
              <w:i w:val="0"/>
              <w:sz w:val="22"/>
              <w:szCs w:val="22"/>
            </w:rPr>
          </w:pPr>
          <w:r>
            <w:rPr>
              <w:b/>
              <w:bCs/>
              <w:i w:val="0"/>
              <w:sz w:val="22"/>
              <w:szCs w:val="22"/>
            </w:rPr>
            <w:t>SUPERINTENDENTA DE LA ECONOMÍA SOLIDARIA</w:t>
          </w:r>
        </w:p>
        <w:p w14:paraId="4609C9D9" w14:textId="745C9C04" w:rsidR="00305EC3" w:rsidRPr="007922E4" w:rsidRDefault="00305EC3" w:rsidP="00EC3A42">
          <w:pPr>
            <w:rPr>
              <w:b/>
              <w:bCs/>
              <w:i w:val="0"/>
            </w:rPr>
          </w:pPr>
        </w:p>
      </w:tc>
    </w:tr>
    <w:tr w:rsidR="00EC3A42" w14:paraId="1B967028" w14:textId="77777777" w:rsidTr="00DD2F81">
      <w:tc>
        <w:tcPr>
          <w:tcW w:w="1526" w:type="dxa"/>
        </w:tcPr>
        <w:p w14:paraId="66CE9674" w14:textId="77777777" w:rsidR="00EC3A42" w:rsidRPr="007922E4" w:rsidRDefault="00EC3A42" w:rsidP="00EC3A42">
          <w:pPr>
            <w:rPr>
              <w:b/>
              <w:bCs/>
              <w:i w:val="0"/>
            </w:rPr>
          </w:pPr>
          <w:r w:rsidRPr="007922E4">
            <w:rPr>
              <w:b/>
              <w:bCs/>
              <w:i w:val="0"/>
              <w:sz w:val="22"/>
              <w:szCs w:val="22"/>
            </w:rPr>
            <w:t>ASUNTO:</w:t>
          </w:r>
        </w:p>
      </w:tc>
      <w:tc>
        <w:tcPr>
          <w:tcW w:w="7737" w:type="dxa"/>
        </w:tcPr>
        <w:p w14:paraId="449638ED" w14:textId="77777777" w:rsidR="00EC3A42" w:rsidRDefault="007A4CB6" w:rsidP="00305EC3">
          <w:pPr>
            <w:jc w:val="both"/>
            <w:rPr>
              <w:b/>
              <w:bCs/>
              <w:i w:val="0"/>
              <w:sz w:val="22"/>
              <w:szCs w:val="22"/>
            </w:rPr>
          </w:pPr>
          <w:r>
            <w:rPr>
              <w:b/>
              <w:bCs/>
              <w:i w:val="0"/>
              <w:sz w:val="22"/>
              <w:szCs w:val="22"/>
            </w:rPr>
            <w:t>MODIFICACIÓN DEL MODELO DE PÉRDIDA ESPERADA Y OTRAS DISPOSICIONES PARA GESTIONAR EL RIESGO DE CRÉDITO, CONTENIDAS EN EL CAPÍTULO II Y SUS ANEXOS 1 Y 2, DEL TÍTULO IV DE LA CIRCULAR BÁSICA CONTABLE Y FINANCIERA</w:t>
          </w:r>
        </w:p>
        <w:p w14:paraId="1E6ECC0A" w14:textId="38E85874" w:rsidR="00305EC3" w:rsidRPr="007922E4" w:rsidRDefault="00305EC3" w:rsidP="00305EC3">
          <w:pPr>
            <w:jc w:val="both"/>
            <w:rPr>
              <w:b/>
              <w:bCs/>
              <w:i w:val="0"/>
            </w:rPr>
          </w:pPr>
        </w:p>
      </w:tc>
    </w:tr>
    <w:tr w:rsidR="00EC3A42" w14:paraId="0074D0B9" w14:textId="77777777" w:rsidTr="00DD2F81">
      <w:tc>
        <w:tcPr>
          <w:tcW w:w="1526" w:type="dxa"/>
        </w:tcPr>
        <w:p w14:paraId="75595DCF" w14:textId="77777777" w:rsidR="00EC3A42" w:rsidRPr="007922E4" w:rsidRDefault="00EC3A42" w:rsidP="00EC3A42">
          <w:pPr>
            <w:rPr>
              <w:b/>
              <w:bCs/>
              <w:i w:val="0"/>
            </w:rPr>
          </w:pPr>
          <w:r w:rsidRPr="007922E4">
            <w:rPr>
              <w:b/>
              <w:bCs/>
              <w:i w:val="0"/>
              <w:sz w:val="22"/>
              <w:szCs w:val="22"/>
            </w:rPr>
            <w:t>FECHA:</w:t>
          </w:r>
        </w:p>
      </w:tc>
      <w:tc>
        <w:tcPr>
          <w:tcW w:w="7737" w:type="dxa"/>
        </w:tcPr>
        <w:p w14:paraId="0070BFA5" w14:textId="77777777" w:rsidR="00EC3A42" w:rsidRPr="007922E4" w:rsidRDefault="00EC3A42" w:rsidP="00EC3A42">
          <w:pPr>
            <w:rPr>
              <w:b/>
              <w:bCs/>
              <w:i w:val="0"/>
            </w:rPr>
          </w:pPr>
          <w:r w:rsidRPr="007922E4">
            <w:rPr>
              <w:b/>
              <w:bCs/>
              <w:i w:val="0"/>
              <w:sz w:val="22"/>
              <w:szCs w:val="22"/>
            </w:rPr>
            <w:t xml:space="preserve">Bogotá D.C., </w:t>
          </w:r>
          <w:bookmarkStart w:id="2" w:name="fecassignedlong"/>
          <w:r w:rsidRPr="007922E4">
            <w:rPr>
              <w:b/>
              <w:bCs/>
              <w:i w:val="0"/>
              <w:sz w:val="22"/>
              <w:szCs w:val="22"/>
            </w:rPr>
            <w:t xml:space="preserve">  </w:t>
          </w:r>
          <w:bookmarkEnd w:id="2"/>
        </w:p>
      </w:tc>
    </w:tr>
  </w:tbl>
  <w:p w14:paraId="1C77EA07" w14:textId="77777777" w:rsidR="00EC3A42" w:rsidRDefault="00EC3A42" w:rsidP="00EC3A42">
    <w:pPr>
      <w:rPr>
        <w:b/>
        <w:bCs/>
        <w:i w:val="0"/>
      </w:rPr>
    </w:pPr>
  </w:p>
  <w:p w14:paraId="3F59E2F3" w14:textId="77777777" w:rsidR="00EC3A42" w:rsidRDefault="00073528" w:rsidP="00EC3A42">
    <w:pPr>
      <w:rPr>
        <w:b/>
        <w:bCs/>
        <w:i w:val="0"/>
        <w:sz w:val="22"/>
        <w:szCs w:val="22"/>
      </w:rPr>
    </w:pPr>
    <w:r>
      <w:rPr>
        <w:noProof/>
        <w:lang w:eastAsia="es-CO"/>
      </w:rPr>
      <mc:AlternateContent>
        <mc:Choice Requires="wps">
          <w:drawing>
            <wp:anchor distT="0" distB="0" distL="114300" distR="114300" simplePos="0" relativeHeight="251661312"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2559E"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" strokeweight="4.5pt">
              <v:stroke linestyle="thinThick"/>
              <w10:wrap type="topAndBottom"/>
            </v:line>
          </w:pict>
        </mc:Fallback>
      </mc:AlternateContent>
    </w:r>
  </w:p>
  <w:p w14:paraId="76644BA5" w14:textId="77777777" w:rsidR="00EC3A42" w:rsidRDefault="00EC3A42" w:rsidP="00EC3A42">
    <w:pPr>
      <w:ind w:right="-59"/>
      <w:rPr>
        <w:bCs/>
        <w:sz w:val="18"/>
        <w:szCs w:val="18"/>
        <w:lang w:val="es-ES_tradnl"/>
      </w:rPr>
    </w:pPr>
  </w:p>
  <w:p w14:paraId="00B6E67E" w14:textId="3776B349" w:rsidR="00EC3A42" w:rsidRDefault="007A4CB6" w:rsidP="00EC3A42">
    <w:pPr>
      <w:ind w:right="-59"/>
      <w:rPr>
        <w:sz w:val="18"/>
        <w:szCs w:val="18"/>
      </w:rPr>
    </w:pPr>
    <w:r>
      <w:rPr>
        <w:bCs/>
        <w:sz w:val="18"/>
        <w:szCs w:val="18"/>
        <w:lang w:val="es-ES_tradnl"/>
      </w:rPr>
      <w:t>180</w:t>
    </w:r>
    <w:r w:rsidR="00EC3A42">
      <w:rPr>
        <w:bCs/>
        <w:sz w:val="18"/>
        <w:szCs w:val="18"/>
        <w:lang w:val="es-ES_tradnl"/>
      </w:rPr>
      <w:t xml:space="preserve"> - Circular Externa No. </w:t>
    </w:r>
    <w:bookmarkStart w:id="3" w:name="numassigned_1"/>
    <w:r w:rsidR="00EC3A42">
      <w:rPr>
        <w:bCs/>
        <w:sz w:val="18"/>
        <w:szCs w:val="18"/>
        <w:lang w:val="es-ES_tradnl"/>
      </w:rPr>
      <w:t xml:space="preserve">  </w:t>
    </w:r>
    <w:bookmarkEnd w:id="3"/>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iCs/>
        <w:sz w:val="18"/>
        <w:szCs w:val="18"/>
        <w:lang w:val="es-MX"/>
      </w:rPr>
      <w:tab/>
    </w:r>
    <w:r w:rsidR="00EC3A42">
      <w:rPr>
        <w:rStyle w:val="Nmerodepgina"/>
        <w:rFonts w:cs="Arial"/>
        <w:iCs/>
        <w:sz w:val="18"/>
        <w:szCs w:val="18"/>
      </w:rPr>
      <w:t xml:space="preserve">Página </w:t>
    </w:r>
    <w:r w:rsidR="00EC3A42">
      <w:rPr>
        <w:rStyle w:val="Nmerodepgina"/>
        <w:rFonts w:cs="Arial"/>
        <w:iCs/>
        <w:sz w:val="18"/>
        <w:szCs w:val="18"/>
      </w:rPr>
      <w:fldChar w:fldCharType="begin"/>
    </w:r>
    <w:r w:rsidR="00EC3A42">
      <w:rPr>
        <w:rStyle w:val="Nmerodepgina"/>
        <w:rFonts w:cs="Arial"/>
        <w:iCs/>
        <w:sz w:val="18"/>
        <w:szCs w:val="18"/>
      </w:rPr>
      <w:instrText xml:space="preserve"> PAGE </w:instrText>
    </w:r>
    <w:r w:rsidR="00EC3A42">
      <w:rPr>
        <w:rStyle w:val="Nmerodepgina"/>
        <w:rFonts w:cs="Arial"/>
        <w:iCs/>
        <w:sz w:val="18"/>
        <w:szCs w:val="18"/>
      </w:rPr>
      <w:fldChar w:fldCharType="separate"/>
    </w:r>
    <w:r w:rsidR="0066566A">
      <w:rPr>
        <w:rStyle w:val="Nmerodepgina"/>
        <w:rFonts w:cs="Arial"/>
        <w:iCs/>
        <w:noProof/>
        <w:sz w:val="18"/>
        <w:szCs w:val="18"/>
      </w:rPr>
      <w:t>1</w:t>
    </w:r>
    <w:r w:rsidR="00EC3A42">
      <w:rPr>
        <w:rStyle w:val="Nmerodepgina"/>
        <w:rFonts w:cs="Arial"/>
        <w:iCs/>
        <w:sz w:val="18"/>
        <w:szCs w:val="18"/>
      </w:rPr>
      <w:fldChar w:fldCharType="end"/>
    </w:r>
    <w:r w:rsidR="00EC3A42">
      <w:rPr>
        <w:rStyle w:val="Nmerodepgina"/>
        <w:rFonts w:cs="Arial"/>
        <w:iCs/>
        <w:sz w:val="18"/>
        <w:szCs w:val="18"/>
      </w:rPr>
      <w:t xml:space="preserve"> de </w:t>
    </w:r>
    <w:r w:rsidR="00EC3A42">
      <w:rPr>
        <w:rStyle w:val="Nmerodepgina"/>
        <w:rFonts w:cs="Arial"/>
        <w:iCs/>
        <w:sz w:val="18"/>
        <w:szCs w:val="18"/>
      </w:rPr>
      <w:fldChar w:fldCharType="begin"/>
    </w:r>
    <w:r w:rsidR="00EC3A42">
      <w:rPr>
        <w:rStyle w:val="Nmerodepgina"/>
        <w:rFonts w:cs="Arial"/>
        <w:iCs/>
        <w:sz w:val="18"/>
        <w:szCs w:val="18"/>
      </w:rPr>
      <w:instrText xml:space="preserve"> NUMPAGES </w:instrText>
    </w:r>
    <w:r w:rsidR="00EC3A42">
      <w:rPr>
        <w:rStyle w:val="Nmerodepgina"/>
        <w:rFonts w:cs="Arial"/>
        <w:iCs/>
        <w:sz w:val="18"/>
        <w:szCs w:val="18"/>
      </w:rPr>
      <w:fldChar w:fldCharType="separate"/>
    </w:r>
    <w:r w:rsidR="0066566A">
      <w:rPr>
        <w:rStyle w:val="Nmerodepgina"/>
        <w:rFonts w:cs="Arial"/>
        <w:iCs/>
        <w:noProof/>
        <w:sz w:val="18"/>
        <w:szCs w:val="18"/>
      </w:rPr>
      <w:t>1</w:t>
    </w:r>
    <w:r w:rsidR="00EC3A42">
      <w:rPr>
        <w:rStyle w:val="Nmerodepgina"/>
        <w:rFonts w:cs="Arial"/>
        <w:iCs/>
        <w:sz w:val="18"/>
        <w:szCs w:val="18"/>
      </w:rPr>
      <w:fldChar w:fldCharType="end"/>
    </w:r>
  </w:p>
  <w:p w14:paraId="03B51278" w14:textId="77777777"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1E5217"/>
    <w:multiLevelType w:val="hybridMultilevel"/>
    <w:tmpl w:val="1CB0F8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4D225389"/>
    <w:multiLevelType w:val="hybridMultilevel"/>
    <w:tmpl w:val="D30899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668754112">
    <w:abstractNumId w:val="0"/>
  </w:num>
  <w:num w:numId="2" w16cid:durableId="1912079877">
    <w:abstractNumId w:val="2"/>
  </w:num>
  <w:num w:numId="3" w16cid:durableId="1702435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6613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1A"/>
    <w:rsid w:val="00006165"/>
    <w:rsid w:val="00006577"/>
    <w:rsid w:val="0001093F"/>
    <w:rsid w:val="000315A7"/>
    <w:rsid w:val="00070BC6"/>
    <w:rsid w:val="00073528"/>
    <w:rsid w:val="00090BFD"/>
    <w:rsid w:val="0009535C"/>
    <w:rsid w:val="000954A0"/>
    <w:rsid w:val="000977CF"/>
    <w:rsid w:val="000B1429"/>
    <w:rsid w:val="000C0C1F"/>
    <w:rsid w:val="000D02DD"/>
    <w:rsid w:val="000E2344"/>
    <w:rsid w:val="000E4ECE"/>
    <w:rsid w:val="000F7FD7"/>
    <w:rsid w:val="00115062"/>
    <w:rsid w:val="0016084B"/>
    <w:rsid w:val="00166491"/>
    <w:rsid w:val="001677C9"/>
    <w:rsid w:val="001A3A7E"/>
    <w:rsid w:val="001B2992"/>
    <w:rsid w:val="001B6D00"/>
    <w:rsid w:val="001C65B7"/>
    <w:rsid w:val="001D2B49"/>
    <w:rsid w:val="00203587"/>
    <w:rsid w:val="00254439"/>
    <w:rsid w:val="0026227A"/>
    <w:rsid w:val="0026518F"/>
    <w:rsid w:val="0028184C"/>
    <w:rsid w:val="00285323"/>
    <w:rsid w:val="00291540"/>
    <w:rsid w:val="003035F4"/>
    <w:rsid w:val="00305EC3"/>
    <w:rsid w:val="00325A55"/>
    <w:rsid w:val="003563C1"/>
    <w:rsid w:val="00356E72"/>
    <w:rsid w:val="00390900"/>
    <w:rsid w:val="003A3492"/>
    <w:rsid w:val="003C3D0E"/>
    <w:rsid w:val="003D04FA"/>
    <w:rsid w:val="003D61CC"/>
    <w:rsid w:val="003E3473"/>
    <w:rsid w:val="003E6DAB"/>
    <w:rsid w:val="0041110A"/>
    <w:rsid w:val="004120B4"/>
    <w:rsid w:val="00420671"/>
    <w:rsid w:val="00425E2C"/>
    <w:rsid w:val="00461C9B"/>
    <w:rsid w:val="004A0367"/>
    <w:rsid w:val="004C7E54"/>
    <w:rsid w:val="004D23D7"/>
    <w:rsid w:val="004D7D98"/>
    <w:rsid w:val="004F507D"/>
    <w:rsid w:val="00507BF0"/>
    <w:rsid w:val="00522339"/>
    <w:rsid w:val="00546DC4"/>
    <w:rsid w:val="005E5D43"/>
    <w:rsid w:val="006164C0"/>
    <w:rsid w:val="0065307B"/>
    <w:rsid w:val="006646E0"/>
    <w:rsid w:val="0066566A"/>
    <w:rsid w:val="00680C7A"/>
    <w:rsid w:val="00696F6D"/>
    <w:rsid w:val="006A1B4A"/>
    <w:rsid w:val="006A4EE0"/>
    <w:rsid w:val="006B2104"/>
    <w:rsid w:val="007060DD"/>
    <w:rsid w:val="007428BE"/>
    <w:rsid w:val="007611E6"/>
    <w:rsid w:val="00773ACA"/>
    <w:rsid w:val="007922E4"/>
    <w:rsid w:val="007A4CB6"/>
    <w:rsid w:val="007B0A34"/>
    <w:rsid w:val="007C178A"/>
    <w:rsid w:val="007F6590"/>
    <w:rsid w:val="0080007B"/>
    <w:rsid w:val="0082573D"/>
    <w:rsid w:val="008563F9"/>
    <w:rsid w:val="00857C4C"/>
    <w:rsid w:val="008731A8"/>
    <w:rsid w:val="00883F53"/>
    <w:rsid w:val="008D01CE"/>
    <w:rsid w:val="00921409"/>
    <w:rsid w:val="0098441A"/>
    <w:rsid w:val="009B02E7"/>
    <w:rsid w:val="009C7158"/>
    <w:rsid w:val="00A04A27"/>
    <w:rsid w:val="00A07251"/>
    <w:rsid w:val="00A2658D"/>
    <w:rsid w:val="00A671E6"/>
    <w:rsid w:val="00AD1E04"/>
    <w:rsid w:val="00B16792"/>
    <w:rsid w:val="00B62C65"/>
    <w:rsid w:val="00B730EC"/>
    <w:rsid w:val="00B868AF"/>
    <w:rsid w:val="00BA1C5E"/>
    <w:rsid w:val="00BB6319"/>
    <w:rsid w:val="00BD17A4"/>
    <w:rsid w:val="00BE279A"/>
    <w:rsid w:val="00BF4A5A"/>
    <w:rsid w:val="00C64ECE"/>
    <w:rsid w:val="00CA55A0"/>
    <w:rsid w:val="00CF5F53"/>
    <w:rsid w:val="00D52E5D"/>
    <w:rsid w:val="00E20347"/>
    <w:rsid w:val="00E7790F"/>
    <w:rsid w:val="00EB7284"/>
    <w:rsid w:val="00EC3A42"/>
    <w:rsid w:val="00F14086"/>
    <w:rsid w:val="00F3485A"/>
    <w:rsid w:val="00F46734"/>
    <w:rsid w:val="00FA17E0"/>
    <w:rsid w:val="00FA2E8D"/>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Sinespaciado">
    <w:name w:val="No Spacing"/>
    <w:uiPriority w:val="1"/>
    <w:qFormat/>
    <w:rsid w:val="00305EC3"/>
    <w:rPr>
      <w:rFonts w:asciiTheme="minorHAnsi" w:eastAsiaTheme="minorHAnsi" w:hAnsiTheme="minorHAnsi" w:cstheme="minorBidi"/>
      <w:lang w:val="es-CO" w:eastAsia="en-US"/>
    </w:rPr>
  </w:style>
  <w:style w:type="paragraph" w:styleId="Prrafodelista">
    <w:name w:val="List Paragraph"/>
    <w:basedOn w:val="Normal"/>
    <w:uiPriority w:val="34"/>
    <w:qFormat/>
    <w:rsid w:val="00305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9268">
      <w:bodyDiv w:val="1"/>
      <w:marLeft w:val="0"/>
      <w:marRight w:val="0"/>
      <w:marTop w:val="0"/>
      <w:marBottom w:val="0"/>
      <w:divBdr>
        <w:top w:val="none" w:sz="0" w:space="0" w:color="auto"/>
        <w:left w:val="none" w:sz="0" w:space="0" w:color="auto"/>
        <w:bottom w:val="none" w:sz="0" w:space="0" w:color="auto"/>
        <w:right w:val="none" w:sz="0" w:space="0" w:color="auto"/>
      </w:divBdr>
    </w:div>
    <w:div w:id="457339699">
      <w:bodyDiv w:val="1"/>
      <w:marLeft w:val="0"/>
      <w:marRight w:val="0"/>
      <w:marTop w:val="0"/>
      <w:marBottom w:val="0"/>
      <w:divBdr>
        <w:top w:val="none" w:sz="0" w:space="0" w:color="auto"/>
        <w:left w:val="none" w:sz="0" w:space="0" w:color="auto"/>
        <w:bottom w:val="none" w:sz="0" w:space="0" w:color="auto"/>
        <w:right w:val="none" w:sz="0" w:space="0" w:color="auto"/>
      </w:divBdr>
    </w:div>
    <w:div w:id="643394854">
      <w:bodyDiv w:val="1"/>
      <w:marLeft w:val="0"/>
      <w:marRight w:val="0"/>
      <w:marTop w:val="0"/>
      <w:marBottom w:val="0"/>
      <w:divBdr>
        <w:top w:val="none" w:sz="0" w:space="0" w:color="auto"/>
        <w:left w:val="none" w:sz="0" w:space="0" w:color="auto"/>
        <w:bottom w:val="none" w:sz="0" w:space="0" w:color="auto"/>
        <w:right w:val="none" w:sz="0" w:space="0" w:color="auto"/>
      </w:divBdr>
    </w:div>
    <w:div w:id="1454901038">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lex.com/vid/42867930?fbt=webapp_preview&amp;addon_version=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DD52-B3E2-43B2-AC34-8A05BDB0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5597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Beatriz Leonela Lizcano Castro</cp:lastModifiedBy>
  <cp:revision>3</cp:revision>
  <cp:lastPrinted>2007-11-17T22:44:00Z</cp:lastPrinted>
  <dcterms:created xsi:type="dcterms:W3CDTF">2024-06-21T21:51:00Z</dcterms:created>
  <dcterms:modified xsi:type="dcterms:W3CDTF">2024-06-21T21:51:00Z</dcterms:modified>
</cp:coreProperties>
</file>