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BF6D" w14:textId="215BD27C" w:rsidR="001C76AC" w:rsidRDefault="001C76AC" w:rsidP="00EE3567">
      <w:pPr>
        <w:spacing w:after="0" w:line="240" w:lineRule="auto"/>
        <w:jc w:val="center"/>
        <w:rPr>
          <w:rFonts w:ascii="Verdana" w:hAnsi="Verdana"/>
          <w:b/>
          <w:bCs/>
        </w:rPr>
      </w:pPr>
      <w:r>
        <w:rPr>
          <w:rFonts w:ascii="Verdana" w:hAnsi="Verdana"/>
          <w:b/>
          <w:bCs/>
        </w:rPr>
        <w:t>ANEXO</w:t>
      </w:r>
    </w:p>
    <w:p w14:paraId="4674CC24" w14:textId="77777777" w:rsidR="001C76AC" w:rsidRDefault="001C76AC" w:rsidP="00EE3567">
      <w:pPr>
        <w:spacing w:after="0" w:line="240" w:lineRule="auto"/>
        <w:jc w:val="center"/>
        <w:rPr>
          <w:rFonts w:ascii="Verdana" w:hAnsi="Verdana"/>
          <w:b/>
          <w:bCs/>
        </w:rPr>
      </w:pPr>
    </w:p>
    <w:p w14:paraId="65D080FD" w14:textId="39DCA460" w:rsidR="001C76AC" w:rsidRDefault="001C76AC" w:rsidP="00EE3567">
      <w:pPr>
        <w:spacing w:after="0" w:line="240" w:lineRule="auto"/>
        <w:jc w:val="center"/>
        <w:rPr>
          <w:rFonts w:ascii="Verdana" w:hAnsi="Verdana"/>
          <w:b/>
          <w:bCs/>
        </w:rPr>
      </w:pPr>
      <w:r>
        <w:rPr>
          <w:rFonts w:ascii="Verdana" w:hAnsi="Verdana"/>
          <w:b/>
          <w:bCs/>
        </w:rPr>
        <w:t>TÍTULO II</w:t>
      </w:r>
    </w:p>
    <w:p w14:paraId="1BAA8247" w14:textId="5D5C4986" w:rsidR="001C76AC" w:rsidRPr="001C76AC" w:rsidRDefault="001C76AC" w:rsidP="001C76AC">
      <w:pPr>
        <w:spacing w:after="0" w:line="240" w:lineRule="auto"/>
        <w:jc w:val="center"/>
        <w:rPr>
          <w:rFonts w:ascii="Verdana" w:hAnsi="Verdana"/>
        </w:rPr>
      </w:pPr>
      <w:r w:rsidRPr="001C76AC">
        <w:rPr>
          <w:rFonts w:ascii="Verdana" w:hAnsi="Verdana"/>
        </w:rPr>
        <w:t>(…)</w:t>
      </w:r>
    </w:p>
    <w:p w14:paraId="419BD4E8" w14:textId="668DB954" w:rsidR="003D261E" w:rsidRDefault="003D261E" w:rsidP="00EE3567">
      <w:pPr>
        <w:spacing w:after="0" w:line="240" w:lineRule="auto"/>
        <w:jc w:val="center"/>
        <w:rPr>
          <w:rFonts w:ascii="Verdana" w:hAnsi="Verdana"/>
          <w:b/>
          <w:bCs/>
        </w:rPr>
      </w:pPr>
      <w:r w:rsidRPr="00AD38EB">
        <w:rPr>
          <w:rFonts w:ascii="Verdana" w:hAnsi="Verdana"/>
          <w:b/>
          <w:bCs/>
        </w:rPr>
        <w:t>CAPÍTULO XI</w:t>
      </w:r>
    </w:p>
    <w:p w14:paraId="34823955" w14:textId="77777777" w:rsidR="00EE3567" w:rsidRPr="00AD38EB" w:rsidRDefault="00EE3567" w:rsidP="00EE3567">
      <w:pPr>
        <w:spacing w:after="0" w:line="240" w:lineRule="auto"/>
        <w:jc w:val="center"/>
        <w:rPr>
          <w:rFonts w:ascii="Verdana" w:hAnsi="Verdana"/>
          <w:b/>
          <w:bCs/>
        </w:rPr>
      </w:pPr>
    </w:p>
    <w:p w14:paraId="137A0F81" w14:textId="02DE3E89" w:rsidR="00E024C4" w:rsidRDefault="00E024C4" w:rsidP="00EE3567">
      <w:pPr>
        <w:spacing w:after="0" w:line="240" w:lineRule="auto"/>
        <w:jc w:val="center"/>
        <w:rPr>
          <w:rFonts w:ascii="Verdana" w:hAnsi="Verdana"/>
          <w:b/>
          <w:bCs/>
        </w:rPr>
      </w:pPr>
      <w:r w:rsidRPr="00AD38EB">
        <w:rPr>
          <w:rFonts w:ascii="Verdana" w:hAnsi="Verdana"/>
          <w:b/>
          <w:bCs/>
        </w:rPr>
        <w:t xml:space="preserve">CONTROL DE </w:t>
      </w:r>
      <w:r w:rsidR="003D261E" w:rsidRPr="00AD38EB">
        <w:rPr>
          <w:rFonts w:ascii="Verdana" w:hAnsi="Verdana"/>
          <w:b/>
          <w:bCs/>
        </w:rPr>
        <w:t>CUMPLIMIENTO NORMATIVO</w:t>
      </w:r>
      <w:r w:rsidRPr="00AD38EB">
        <w:rPr>
          <w:rFonts w:ascii="Verdana" w:hAnsi="Verdana"/>
          <w:b/>
          <w:bCs/>
        </w:rPr>
        <w:t xml:space="preserve"> POR PARTE DE LA SUPERINTENDENCIA DE LA ECONOMÍA SOLIDARIA</w:t>
      </w:r>
    </w:p>
    <w:p w14:paraId="2311BA47" w14:textId="77777777" w:rsidR="00EE3567" w:rsidRPr="00AD38EB" w:rsidRDefault="00EE3567" w:rsidP="00EE3567">
      <w:pPr>
        <w:spacing w:after="0" w:line="240" w:lineRule="auto"/>
        <w:jc w:val="center"/>
        <w:rPr>
          <w:rFonts w:ascii="Verdana" w:hAnsi="Verdana"/>
          <w:b/>
          <w:bCs/>
        </w:rPr>
      </w:pPr>
    </w:p>
    <w:p w14:paraId="5507C8D7" w14:textId="7A240B96" w:rsidR="00ED1D74" w:rsidRDefault="00ED1D74" w:rsidP="00EE3567">
      <w:pPr>
        <w:spacing w:after="0" w:line="240" w:lineRule="auto"/>
        <w:jc w:val="both"/>
        <w:rPr>
          <w:rFonts w:ascii="Verdana" w:hAnsi="Verdana"/>
          <w:color w:val="000000" w:themeColor="text1"/>
        </w:rPr>
      </w:pPr>
      <w:r w:rsidRPr="00AD38EB">
        <w:rPr>
          <w:rFonts w:ascii="Verdana" w:hAnsi="Verdana"/>
          <w:color w:val="000000" w:themeColor="text1"/>
        </w:rPr>
        <w:t xml:space="preserve">De acuerdo con lo contenido en el numeral </w:t>
      </w:r>
      <w:r w:rsidRPr="00AD38EB">
        <w:rPr>
          <w:rFonts w:ascii="Verdana" w:hAnsi="Verdana"/>
        </w:rPr>
        <w:t>22 del artículo 36</w:t>
      </w:r>
      <w:r w:rsidRPr="00AD38EB">
        <w:rPr>
          <w:rFonts w:ascii="Verdana" w:hAnsi="Verdana"/>
          <w:color w:val="000000" w:themeColor="text1"/>
        </w:rPr>
        <w:t xml:space="preserve"> de la Ley 454 de 1998, esta Superintendencia puede instruir a las </w:t>
      </w:r>
      <w:r w:rsidR="00E02E25">
        <w:rPr>
          <w:rFonts w:ascii="Verdana" w:hAnsi="Verdana"/>
          <w:color w:val="000000" w:themeColor="text1"/>
        </w:rPr>
        <w:t>empresas solidarias supervisadas</w:t>
      </w:r>
      <w:r w:rsidRPr="00AD38EB">
        <w:rPr>
          <w:rFonts w:ascii="Verdana" w:hAnsi="Verdana"/>
          <w:color w:val="000000" w:themeColor="text1"/>
        </w:rPr>
        <w:t xml:space="preserve"> sobre la manera cómo deben cumplirse las disposiciones que rigen su actividad, fijando además de los criterios técnicos, los criterios jurídicos que faciliten su cumplimiento</w:t>
      </w:r>
      <w:r w:rsidR="00E02E25">
        <w:rPr>
          <w:rFonts w:ascii="Verdana" w:hAnsi="Verdana"/>
          <w:color w:val="000000" w:themeColor="text1"/>
        </w:rPr>
        <w:t xml:space="preserve">, señalando, asimismo, el procedimiento para su cabal aplicación. </w:t>
      </w:r>
    </w:p>
    <w:p w14:paraId="53DD6982" w14:textId="77777777" w:rsidR="00EE3567" w:rsidRPr="00AD38EB" w:rsidRDefault="00EE3567" w:rsidP="00EE3567">
      <w:pPr>
        <w:spacing w:after="0" w:line="240" w:lineRule="auto"/>
        <w:jc w:val="both"/>
        <w:rPr>
          <w:rFonts w:ascii="Verdana" w:hAnsi="Verdana"/>
          <w:color w:val="000000" w:themeColor="text1"/>
        </w:rPr>
      </w:pPr>
    </w:p>
    <w:p w14:paraId="65F84BC7" w14:textId="70258F58" w:rsidR="00ED1D74" w:rsidRDefault="00ED1D74" w:rsidP="00EE3567">
      <w:pPr>
        <w:spacing w:after="0" w:line="240" w:lineRule="auto"/>
        <w:jc w:val="both"/>
        <w:rPr>
          <w:rFonts w:ascii="Verdana" w:hAnsi="Verdana"/>
          <w:color w:val="000000" w:themeColor="text1"/>
        </w:rPr>
      </w:pPr>
      <w:r w:rsidRPr="00AD38EB">
        <w:rPr>
          <w:rFonts w:ascii="Verdana" w:hAnsi="Verdana"/>
          <w:color w:val="000000" w:themeColor="text1"/>
        </w:rPr>
        <w:t xml:space="preserve">Adicionalmente, en virtud del artículo 3 del Decreto 186 de 2004, relacionado con las funciones en cabeza de esta Superintendencia respecto a las cooperativas de ahorro y crédito, </w:t>
      </w:r>
      <w:r w:rsidR="00E02E25">
        <w:rPr>
          <w:rFonts w:ascii="Verdana" w:hAnsi="Verdana"/>
          <w:color w:val="000000" w:themeColor="text1"/>
        </w:rPr>
        <w:t xml:space="preserve">el </w:t>
      </w:r>
      <w:r w:rsidRPr="00AD38EB">
        <w:rPr>
          <w:rFonts w:ascii="Verdana" w:hAnsi="Verdana"/>
          <w:color w:val="000000" w:themeColor="text1"/>
        </w:rPr>
        <w:t xml:space="preserve">numeral 5 que trata, entre otras, sobre las facultades de prevención, y específicamente el literal c, esta autoridad administrativa de supervisión puede emitir las ordenes necesarias para que se adopten las correspondientes medidas correctivas y de saneamiento, cuando considere que se han violado los estatutos o alguna disposición de obligatoria observancia como las relacionadas con la convocatoria, quorum y realización de las reuniones de las asambleas generales, de acuerdo con lo contenido en la Ley 79 de 1988, Ley 454 de 1998 y demás normas concordantes. </w:t>
      </w:r>
    </w:p>
    <w:p w14:paraId="6BF90B1E" w14:textId="77777777" w:rsidR="00EE3567" w:rsidRPr="00AD38EB" w:rsidRDefault="00EE3567" w:rsidP="00EE3567">
      <w:pPr>
        <w:spacing w:after="0" w:line="240" w:lineRule="auto"/>
        <w:jc w:val="both"/>
        <w:rPr>
          <w:rFonts w:ascii="Verdana" w:hAnsi="Verdana"/>
          <w:color w:val="000000" w:themeColor="text1"/>
        </w:rPr>
      </w:pPr>
    </w:p>
    <w:p w14:paraId="2675CD7D" w14:textId="4C2C6A52" w:rsidR="003D261E" w:rsidRDefault="00ED1D74" w:rsidP="00EE3567">
      <w:pPr>
        <w:spacing w:after="0" w:line="240" w:lineRule="auto"/>
        <w:jc w:val="both"/>
        <w:rPr>
          <w:rFonts w:ascii="Verdana" w:hAnsi="Verdana"/>
          <w:color w:val="000000" w:themeColor="text1"/>
        </w:rPr>
      </w:pPr>
      <w:r w:rsidRPr="00AD38EB">
        <w:rPr>
          <w:rFonts w:ascii="Verdana" w:hAnsi="Verdana"/>
          <w:color w:val="000000" w:themeColor="text1"/>
        </w:rPr>
        <w:t>Asimismo, el numeral 12 del artículo 9 del Decreto 186 de 2004</w:t>
      </w:r>
      <w:r w:rsidR="00E02E25">
        <w:rPr>
          <w:rFonts w:ascii="Verdana" w:hAnsi="Verdana"/>
          <w:color w:val="000000" w:themeColor="text1"/>
        </w:rPr>
        <w:t>,</w:t>
      </w:r>
      <w:r w:rsidRPr="00AD38EB">
        <w:rPr>
          <w:rFonts w:ascii="Verdana" w:hAnsi="Verdana"/>
          <w:color w:val="000000" w:themeColor="text1"/>
        </w:rPr>
        <w:t xml:space="preserve"> faculta a la Delegatura para la Supervisión de la Actividad Financiera en el Cooperativismo ordenar las modificaciones de las reformas estatutarias adoptadas por las entidades sometidas a su control, inspección y vigilancia </w:t>
      </w:r>
      <w:r w:rsidR="00E02E25">
        <w:rPr>
          <w:rFonts w:ascii="Verdana" w:hAnsi="Verdana"/>
          <w:color w:val="000000" w:themeColor="text1"/>
        </w:rPr>
        <w:t>en caso de</w:t>
      </w:r>
      <w:r w:rsidRPr="00AD38EB">
        <w:rPr>
          <w:rFonts w:ascii="Verdana" w:hAnsi="Verdana"/>
          <w:color w:val="000000" w:themeColor="text1"/>
        </w:rPr>
        <w:t xml:space="preserve"> </w:t>
      </w:r>
      <w:r w:rsidR="00E02E25">
        <w:rPr>
          <w:rFonts w:ascii="Verdana" w:hAnsi="Verdana"/>
          <w:color w:val="000000" w:themeColor="text1"/>
        </w:rPr>
        <w:t>apartarse</w:t>
      </w:r>
      <w:r w:rsidRPr="00AD38EB">
        <w:rPr>
          <w:rFonts w:ascii="Verdana" w:hAnsi="Verdana"/>
          <w:color w:val="000000" w:themeColor="text1"/>
        </w:rPr>
        <w:t xml:space="preserve"> de la Ley. </w:t>
      </w:r>
    </w:p>
    <w:p w14:paraId="5EF79F55" w14:textId="77777777" w:rsidR="00EE3567" w:rsidRPr="00AD38EB" w:rsidRDefault="00EE3567" w:rsidP="00EE3567">
      <w:pPr>
        <w:spacing w:after="0" w:line="240" w:lineRule="auto"/>
        <w:jc w:val="both"/>
        <w:rPr>
          <w:rFonts w:ascii="Verdana" w:hAnsi="Verdana"/>
          <w:color w:val="000000" w:themeColor="text1"/>
        </w:rPr>
      </w:pPr>
    </w:p>
    <w:p w14:paraId="47AE162D" w14:textId="5CA86E06" w:rsidR="00ED1D74" w:rsidRDefault="00ED1D74" w:rsidP="00EE3567">
      <w:pPr>
        <w:spacing w:after="0" w:line="240" w:lineRule="auto"/>
        <w:jc w:val="both"/>
        <w:rPr>
          <w:rFonts w:ascii="Verdana" w:hAnsi="Verdana"/>
          <w:color w:val="000000" w:themeColor="text1"/>
        </w:rPr>
      </w:pPr>
      <w:r w:rsidRPr="00AD38EB">
        <w:rPr>
          <w:rFonts w:ascii="Verdana" w:hAnsi="Verdana"/>
          <w:color w:val="000000" w:themeColor="text1"/>
        </w:rPr>
        <w:t xml:space="preserve">Por lo anterior, cuando una cooperativa </w:t>
      </w:r>
      <w:r w:rsidR="0053457A">
        <w:rPr>
          <w:rFonts w:ascii="Verdana" w:hAnsi="Verdana"/>
          <w:color w:val="000000" w:themeColor="text1"/>
        </w:rPr>
        <w:t>que ejerce la actividad financiera</w:t>
      </w:r>
      <w:r w:rsidRPr="00AD38EB">
        <w:rPr>
          <w:rFonts w:ascii="Verdana" w:hAnsi="Verdana"/>
          <w:color w:val="000000" w:themeColor="text1"/>
        </w:rPr>
        <w:t xml:space="preserve"> realice una</w:t>
      </w:r>
      <w:r w:rsidR="005F69EB" w:rsidRPr="00AD38EB">
        <w:rPr>
          <w:rFonts w:ascii="Verdana" w:hAnsi="Verdana"/>
          <w:color w:val="000000" w:themeColor="text1"/>
        </w:rPr>
        <w:t xml:space="preserve"> reunión ordinaria o extraordinaria de la Asamblea General, deberá remitir a la Supersolidaria, dentro de los treinta (30) días siguientes a su celebración, los siguientes documentos, con el fin de que esta realice control de cumplimiento normativo sobre la conformidad de los requisitos </w:t>
      </w:r>
      <w:r w:rsidR="00134869" w:rsidRPr="00AD38EB">
        <w:rPr>
          <w:rFonts w:ascii="Verdana" w:hAnsi="Verdana"/>
          <w:color w:val="000000" w:themeColor="text1"/>
        </w:rPr>
        <w:t>contenidos en las leyes, decretos</w:t>
      </w:r>
      <w:r w:rsidR="005F69EB" w:rsidRPr="00AD38EB">
        <w:rPr>
          <w:rFonts w:ascii="Verdana" w:hAnsi="Verdana"/>
          <w:color w:val="000000" w:themeColor="text1"/>
        </w:rPr>
        <w:t>, instrucciones</w:t>
      </w:r>
      <w:r w:rsidR="00134869" w:rsidRPr="00AD38EB">
        <w:rPr>
          <w:rFonts w:ascii="Verdana" w:hAnsi="Verdana"/>
          <w:color w:val="000000" w:themeColor="text1"/>
        </w:rPr>
        <w:t xml:space="preserve"> emitidas por esta autoridad administrativa y sus estatutos y reglamentos:</w:t>
      </w:r>
    </w:p>
    <w:p w14:paraId="4491B678" w14:textId="77777777" w:rsidR="00EE3567" w:rsidRPr="00AD38EB" w:rsidRDefault="00EE3567" w:rsidP="00EE3567">
      <w:pPr>
        <w:spacing w:after="0" w:line="240" w:lineRule="auto"/>
        <w:jc w:val="both"/>
        <w:rPr>
          <w:rFonts w:ascii="Verdana" w:hAnsi="Verdana"/>
          <w:color w:val="000000" w:themeColor="text1"/>
        </w:rPr>
      </w:pPr>
    </w:p>
    <w:p w14:paraId="0CD1B9B5" w14:textId="3BFFA325" w:rsidR="00134869" w:rsidRPr="00AD38EB" w:rsidRDefault="00134869" w:rsidP="00EE3567">
      <w:pPr>
        <w:pStyle w:val="Prrafodelista"/>
        <w:widowControl w:val="0"/>
        <w:numPr>
          <w:ilvl w:val="1"/>
          <w:numId w:val="4"/>
        </w:numPr>
        <w:tabs>
          <w:tab w:val="left" w:pos="888"/>
        </w:tabs>
        <w:autoSpaceDE w:val="0"/>
        <w:autoSpaceDN w:val="0"/>
        <w:spacing w:before="2" w:after="0" w:line="240" w:lineRule="auto"/>
        <w:contextualSpacing w:val="0"/>
        <w:jc w:val="both"/>
        <w:rPr>
          <w:rFonts w:ascii="Verdana" w:hAnsi="Verdana"/>
        </w:rPr>
      </w:pPr>
      <w:r w:rsidRPr="00AD38EB">
        <w:rPr>
          <w:rFonts w:ascii="Verdana" w:hAnsi="Verdana"/>
        </w:rPr>
        <w:t>Formato</w:t>
      </w:r>
      <w:r w:rsidRPr="00AD38EB">
        <w:rPr>
          <w:rFonts w:ascii="Verdana" w:hAnsi="Verdana"/>
          <w:spacing w:val="-2"/>
        </w:rPr>
        <w:t xml:space="preserve"> </w:t>
      </w:r>
      <w:r w:rsidRPr="00AD38EB">
        <w:rPr>
          <w:rFonts w:ascii="Verdana" w:hAnsi="Verdana"/>
        </w:rPr>
        <w:t>de</w:t>
      </w:r>
      <w:r w:rsidRPr="00AD38EB">
        <w:rPr>
          <w:rFonts w:ascii="Verdana" w:hAnsi="Verdana"/>
          <w:spacing w:val="-4"/>
        </w:rPr>
        <w:t xml:space="preserve"> </w:t>
      </w:r>
      <w:r w:rsidRPr="00AD38EB">
        <w:rPr>
          <w:rFonts w:ascii="Verdana" w:hAnsi="Verdana"/>
        </w:rPr>
        <w:t>solicitud</w:t>
      </w:r>
      <w:r w:rsidRPr="00AD38EB">
        <w:rPr>
          <w:rFonts w:ascii="Verdana" w:hAnsi="Verdana"/>
          <w:spacing w:val="-2"/>
        </w:rPr>
        <w:t xml:space="preserve"> </w:t>
      </w:r>
      <w:r w:rsidRPr="00AD38EB">
        <w:rPr>
          <w:rFonts w:ascii="Verdana" w:hAnsi="Verdana"/>
        </w:rPr>
        <w:t>de</w:t>
      </w:r>
      <w:r w:rsidRPr="00AD38EB">
        <w:rPr>
          <w:rFonts w:ascii="Verdana" w:hAnsi="Verdana"/>
          <w:spacing w:val="-6"/>
        </w:rPr>
        <w:t xml:space="preserve"> </w:t>
      </w:r>
      <w:r w:rsidRPr="00AD38EB">
        <w:rPr>
          <w:rFonts w:ascii="Verdana" w:hAnsi="Verdana"/>
        </w:rPr>
        <w:t>control</w:t>
      </w:r>
      <w:r w:rsidRPr="00AD38EB">
        <w:rPr>
          <w:rFonts w:ascii="Verdana" w:hAnsi="Verdana"/>
          <w:spacing w:val="-3"/>
        </w:rPr>
        <w:t xml:space="preserve"> </w:t>
      </w:r>
      <w:r w:rsidRPr="00AD38EB">
        <w:rPr>
          <w:rFonts w:ascii="Verdana" w:hAnsi="Verdana"/>
        </w:rPr>
        <w:t>de</w:t>
      </w:r>
      <w:r w:rsidRPr="00AD38EB">
        <w:rPr>
          <w:rFonts w:ascii="Verdana" w:hAnsi="Verdana"/>
          <w:spacing w:val="-4"/>
        </w:rPr>
        <w:t xml:space="preserve"> </w:t>
      </w:r>
      <w:r w:rsidRPr="00AD38EB">
        <w:rPr>
          <w:rFonts w:ascii="Verdana" w:hAnsi="Verdana"/>
        </w:rPr>
        <w:t>cumplimiento normativo.</w:t>
      </w:r>
      <w:r w:rsidRPr="00AD38EB">
        <w:rPr>
          <w:rFonts w:ascii="Verdana" w:hAnsi="Verdana"/>
          <w:spacing w:val="-3"/>
        </w:rPr>
        <w:t xml:space="preserve"> </w:t>
      </w:r>
      <w:r w:rsidRPr="00AD38EB">
        <w:rPr>
          <w:rFonts w:ascii="Verdana" w:hAnsi="Verdana"/>
        </w:rPr>
        <w:t>Ver</w:t>
      </w:r>
      <w:r w:rsidRPr="00AD38EB">
        <w:rPr>
          <w:rFonts w:ascii="Verdana" w:hAnsi="Verdana"/>
          <w:spacing w:val="-2"/>
        </w:rPr>
        <w:t xml:space="preserve"> </w:t>
      </w:r>
      <w:r w:rsidRPr="00AD38EB">
        <w:rPr>
          <w:rFonts w:ascii="Verdana" w:hAnsi="Verdana"/>
        </w:rPr>
        <w:t>menú</w:t>
      </w:r>
      <w:r w:rsidRPr="00AD38EB">
        <w:rPr>
          <w:rFonts w:ascii="Verdana" w:hAnsi="Verdana"/>
          <w:spacing w:val="-4"/>
        </w:rPr>
        <w:t xml:space="preserve"> </w:t>
      </w:r>
      <w:r w:rsidRPr="00AD38EB">
        <w:rPr>
          <w:rFonts w:ascii="Verdana" w:hAnsi="Verdana"/>
        </w:rPr>
        <w:t>trámites</w:t>
      </w:r>
      <w:r w:rsidRPr="00AD38EB">
        <w:rPr>
          <w:rFonts w:ascii="Verdana" w:hAnsi="Verdana"/>
          <w:spacing w:val="-4"/>
        </w:rPr>
        <w:t xml:space="preserve"> </w:t>
      </w:r>
      <w:r w:rsidRPr="00AD38EB">
        <w:rPr>
          <w:rFonts w:ascii="Verdana" w:hAnsi="Verdana"/>
        </w:rPr>
        <w:t>de</w:t>
      </w:r>
      <w:r w:rsidRPr="00AD38EB">
        <w:rPr>
          <w:rFonts w:ascii="Verdana" w:hAnsi="Verdana"/>
          <w:spacing w:val="-1"/>
        </w:rPr>
        <w:t xml:space="preserve"> </w:t>
      </w:r>
      <w:r w:rsidRPr="00AD38EB">
        <w:rPr>
          <w:rFonts w:ascii="Verdana" w:hAnsi="Verdana"/>
        </w:rPr>
        <w:t>la</w:t>
      </w:r>
      <w:r w:rsidRPr="00AD38EB">
        <w:rPr>
          <w:rFonts w:ascii="Verdana" w:hAnsi="Verdana"/>
          <w:spacing w:val="-2"/>
        </w:rPr>
        <w:t xml:space="preserve"> </w:t>
      </w:r>
      <w:r w:rsidRPr="00AD38EB">
        <w:rPr>
          <w:rFonts w:ascii="Verdana" w:hAnsi="Verdana"/>
        </w:rPr>
        <w:t>página</w:t>
      </w:r>
      <w:r w:rsidRPr="00AD38EB">
        <w:rPr>
          <w:rFonts w:ascii="Verdana" w:hAnsi="Verdana"/>
          <w:spacing w:val="5"/>
        </w:rPr>
        <w:t xml:space="preserve"> </w:t>
      </w:r>
      <w:r w:rsidRPr="00AD38EB">
        <w:rPr>
          <w:rFonts w:ascii="Verdana" w:hAnsi="Verdana"/>
        </w:rPr>
        <w:t>web</w:t>
      </w:r>
      <w:r w:rsidRPr="00AD38EB">
        <w:rPr>
          <w:rFonts w:ascii="Verdana" w:hAnsi="Verdana"/>
          <w:spacing w:val="-2"/>
        </w:rPr>
        <w:t xml:space="preserve"> </w:t>
      </w:r>
      <w:hyperlink r:id="rId5">
        <w:r w:rsidRPr="00AD38EB">
          <w:rPr>
            <w:rFonts w:ascii="Verdana" w:hAnsi="Verdana"/>
          </w:rPr>
          <w:t>www.supersolidaria.gov.co</w:t>
        </w:r>
      </w:hyperlink>
      <w:r w:rsidR="00EE3567">
        <w:rPr>
          <w:rFonts w:ascii="Verdana" w:hAnsi="Verdana"/>
        </w:rPr>
        <w:t xml:space="preserve"> </w:t>
      </w:r>
    </w:p>
    <w:p w14:paraId="696788FC" w14:textId="77777777" w:rsidR="00235687" w:rsidRPr="00AD38EB" w:rsidRDefault="00235687" w:rsidP="00EE3567">
      <w:pPr>
        <w:pStyle w:val="Prrafodelista"/>
        <w:widowControl w:val="0"/>
        <w:tabs>
          <w:tab w:val="left" w:pos="888"/>
        </w:tabs>
        <w:autoSpaceDE w:val="0"/>
        <w:autoSpaceDN w:val="0"/>
        <w:spacing w:before="2" w:after="0" w:line="240" w:lineRule="auto"/>
        <w:ind w:left="900"/>
        <w:contextualSpacing w:val="0"/>
        <w:jc w:val="both"/>
        <w:rPr>
          <w:rFonts w:ascii="Verdana" w:hAnsi="Verdana"/>
        </w:rPr>
      </w:pPr>
    </w:p>
    <w:p w14:paraId="708F3E24" w14:textId="77777777" w:rsidR="001C76AC" w:rsidRDefault="00134869" w:rsidP="002570C7">
      <w:pPr>
        <w:pStyle w:val="Prrafodelista"/>
        <w:widowControl w:val="0"/>
        <w:numPr>
          <w:ilvl w:val="1"/>
          <w:numId w:val="4"/>
        </w:numPr>
        <w:tabs>
          <w:tab w:val="left" w:pos="888"/>
        </w:tabs>
        <w:autoSpaceDE w:val="0"/>
        <w:autoSpaceDN w:val="0"/>
        <w:spacing w:after="0" w:line="240" w:lineRule="auto"/>
        <w:ind w:right="195"/>
        <w:contextualSpacing w:val="0"/>
        <w:jc w:val="both"/>
        <w:rPr>
          <w:rFonts w:ascii="Verdana" w:hAnsi="Verdana"/>
        </w:rPr>
      </w:pPr>
      <w:r w:rsidRPr="001C76AC">
        <w:rPr>
          <w:rFonts w:ascii="Verdana" w:hAnsi="Verdana"/>
        </w:rPr>
        <w:t>Copia del acta de la reunión de la Asamblea General tomada de los libros registrados en la Cámara de Comercio. Si la reunión de la Asamblea General es de Delegados, deberán</w:t>
      </w:r>
      <w:r w:rsidRPr="001C76AC">
        <w:rPr>
          <w:rFonts w:ascii="Verdana" w:hAnsi="Verdana"/>
          <w:spacing w:val="1"/>
        </w:rPr>
        <w:t xml:space="preserve"> </w:t>
      </w:r>
      <w:r w:rsidRPr="001C76AC">
        <w:rPr>
          <w:rFonts w:ascii="Verdana" w:hAnsi="Verdana"/>
        </w:rPr>
        <w:t>remitir</w:t>
      </w:r>
      <w:r w:rsidRPr="001C76AC">
        <w:rPr>
          <w:rFonts w:ascii="Verdana" w:hAnsi="Verdana"/>
          <w:spacing w:val="-2"/>
        </w:rPr>
        <w:t xml:space="preserve"> </w:t>
      </w:r>
      <w:r w:rsidRPr="001C76AC">
        <w:rPr>
          <w:rFonts w:ascii="Verdana" w:hAnsi="Verdana"/>
        </w:rPr>
        <w:t>adicionalmente</w:t>
      </w:r>
      <w:r w:rsidRPr="001C76AC">
        <w:rPr>
          <w:rFonts w:ascii="Verdana" w:hAnsi="Verdana"/>
          <w:spacing w:val="-2"/>
        </w:rPr>
        <w:t xml:space="preserve"> </w:t>
      </w:r>
      <w:r w:rsidRPr="001C76AC">
        <w:rPr>
          <w:rFonts w:ascii="Verdana" w:hAnsi="Verdana"/>
        </w:rPr>
        <w:t>el</w:t>
      </w:r>
      <w:r w:rsidRPr="001C76AC">
        <w:rPr>
          <w:rFonts w:ascii="Verdana" w:hAnsi="Verdana"/>
          <w:spacing w:val="-3"/>
        </w:rPr>
        <w:t xml:space="preserve"> </w:t>
      </w:r>
      <w:r w:rsidR="00235687" w:rsidRPr="001C76AC">
        <w:rPr>
          <w:rFonts w:ascii="Verdana" w:hAnsi="Verdana"/>
          <w:spacing w:val="-3"/>
        </w:rPr>
        <w:t>r</w:t>
      </w:r>
      <w:r w:rsidRPr="001C76AC">
        <w:rPr>
          <w:rFonts w:ascii="Verdana" w:hAnsi="Verdana"/>
        </w:rPr>
        <w:t>eglamento para la elección de</w:t>
      </w:r>
      <w:r w:rsidRPr="001C76AC">
        <w:rPr>
          <w:rFonts w:ascii="Verdana" w:hAnsi="Verdana"/>
          <w:spacing w:val="-1"/>
        </w:rPr>
        <w:t xml:space="preserve"> </w:t>
      </w:r>
      <w:r w:rsidRPr="001C76AC">
        <w:rPr>
          <w:rFonts w:ascii="Verdana" w:hAnsi="Verdana"/>
        </w:rPr>
        <w:t>delegados y</w:t>
      </w:r>
      <w:r w:rsidRPr="001C76AC">
        <w:rPr>
          <w:rFonts w:ascii="Verdana" w:hAnsi="Verdana"/>
          <w:spacing w:val="-1"/>
        </w:rPr>
        <w:t xml:space="preserve"> </w:t>
      </w:r>
      <w:r w:rsidRPr="001C76AC">
        <w:rPr>
          <w:rFonts w:ascii="Verdana" w:hAnsi="Verdana"/>
        </w:rPr>
        <w:t>el</w:t>
      </w:r>
      <w:r w:rsidRPr="001C76AC">
        <w:rPr>
          <w:rFonts w:ascii="Verdana" w:hAnsi="Verdana"/>
          <w:spacing w:val="-1"/>
        </w:rPr>
        <w:t xml:space="preserve"> </w:t>
      </w:r>
      <w:r w:rsidRPr="001C76AC">
        <w:rPr>
          <w:rFonts w:ascii="Verdana" w:hAnsi="Verdana"/>
        </w:rPr>
        <w:t>acta de</w:t>
      </w:r>
      <w:r w:rsidRPr="001C76AC">
        <w:rPr>
          <w:rFonts w:ascii="Verdana" w:hAnsi="Verdana"/>
          <w:spacing w:val="2"/>
        </w:rPr>
        <w:t xml:space="preserve"> </w:t>
      </w:r>
      <w:r w:rsidRPr="001C76AC">
        <w:rPr>
          <w:rFonts w:ascii="Verdana" w:hAnsi="Verdana"/>
        </w:rPr>
        <w:t>escrutinios.</w:t>
      </w:r>
      <w:bookmarkStart w:id="0" w:name="_Hlk190861415"/>
    </w:p>
    <w:p w14:paraId="477EF8F0" w14:textId="75524789" w:rsidR="001C76AC" w:rsidRPr="001C76AC" w:rsidRDefault="001C76AC" w:rsidP="002570C7">
      <w:pPr>
        <w:pStyle w:val="Prrafodelista"/>
        <w:widowControl w:val="0"/>
        <w:numPr>
          <w:ilvl w:val="1"/>
          <w:numId w:val="4"/>
        </w:numPr>
        <w:tabs>
          <w:tab w:val="left" w:pos="888"/>
        </w:tabs>
        <w:autoSpaceDE w:val="0"/>
        <w:autoSpaceDN w:val="0"/>
        <w:spacing w:after="0" w:line="240" w:lineRule="auto"/>
        <w:ind w:right="195"/>
        <w:contextualSpacing w:val="0"/>
        <w:jc w:val="both"/>
        <w:rPr>
          <w:rFonts w:ascii="Verdana" w:hAnsi="Verdana"/>
        </w:rPr>
      </w:pPr>
      <w:r w:rsidRPr="001C76AC">
        <w:rPr>
          <w:rFonts w:ascii="Verdana" w:hAnsi="Verdana"/>
        </w:rPr>
        <w:lastRenderedPageBreak/>
        <w:t>Copia del acta de reunión del Consejo de Administración, o quien haga sus veces, donde se convoca de acuerdo con los estatutos. A falta de estipulación estatutaria, la reunión de la Asamblea General deberá convocarse con una antelación no inferior a quince (15) días hábiles a la fecha de celebración, cuando sea ordinaria, y en el caso de las extraordinarias, con mínimo cinco (5) días de antelación, en donde deberá</w:t>
      </w:r>
      <w:r w:rsidRPr="001C76AC">
        <w:rPr>
          <w:rFonts w:ascii="Verdana" w:hAnsi="Verdana"/>
          <w:spacing w:val="1"/>
        </w:rPr>
        <w:t xml:space="preserve"> </w:t>
      </w:r>
      <w:r w:rsidRPr="001C76AC">
        <w:rPr>
          <w:rFonts w:ascii="Verdana" w:hAnsi="Verdana"/>
        </w:rPr>
        <w:t>constar</w:t>
      </w:r>
      <w:r w:rsidRPr="001C76AC">
        <w:rPr>
          <w:rFonts w:ascii="Verdana" w:hAnsi="Verdana"/>
          <w:spacing w:val="-2"/>
        </w:rPr>
        <w:t xml:space="preserve"> </w:t>
      </w:r>
      <w:r w:rsidRPr="001C76AC">
        <w:rPr>
          <w:rFonts w:ascii="Verdana" w:hAnsi="Verdana"/>
        </w:rPr>
        <w:t>la</w:t>
      </w:r>
      <w:r w:rsidRPr="001C76AC">
        <w:rPr>
          <w:rFonts w:ascii="Verdana" w:hAnsi="Verdana"/>
          <w:spacing w:val="-2"/>
        </w:rPr>
        <w:t xml:space="preserve"> </w:t>
      </w:r>
      <w:r w:rsidRPr="001C76AC">
        <w:rPr>
          <w:rFonts w:ascii="Verdana" w:hAnsi="Verdana"/>
        </w:rPr>
        <w:t>fecha y</w:t>
      </w:r>
      <w:r w:rsidRPr="001C76AC">
        <w:rPr>
          <w:rFonts w:ascii="Verdana" w:hAnsi="Verdana"/>
          <w:spacing w:val="-1"/>
        </w:rPr>
        <w:t xml:space="preserve"> </w:t>
      </w:r>
      <w:r w:rsidRPr="001C76AC">
        <w:rPr>
          <w:rFonts w:ascii="Verdana" w:hAnsi="Verdana"/>
        </w:rPr>
        <w:t>el</w:t>
      </w:r>
      <w:r w:rsidRPr="001C76AC">
        <w:rPr>
          <w:rFonts w:ascii="Verdana" w:hAnsi="Verdana"/>
          <w:spacing w:val="-3"/>
        </w:rPr>
        <w:t xml:space="preserve"> </w:t>
      </w:r>
      <w:r w:rsidRPr="001C76AC">
        <w:rPr>
          <w:rFonts w:ascii="Verdana" w:hAnsi="Verdana"/>
        </w:rPr>
        <w:t>medio a</w:t>
      </w:r>
      <w:r w:rsidRPr="001C76AC">
        <w:rPr>
          <w:rFonts w:ascii="Verdana" w:hAnsi="Verdana"/>
          <w:spacing w:val="1"/>
        </w:rPr>
        <w:t xml:space="preserve"> </w:t>
      </w:r>
      <w:r w:rsidRPr="001C76AC">
        <w:rPr>
          <w:rFonts w:ascii="Verdana" w:hAnsi="Verdana"/>
        </w:rPr>
        <w:t>través de la</w:t>
      </w:r>
      <w:r w:rsidRPr="001C76AC">
        <w:rPr>
          <w:rFonts w:ascii="Verdana" w:hAnsi="Verdana"/>
          <w:spacing w:val="-3"/>
        </w:rPr>
        <w:t xml:space="preserve"> </w:t>
      </w:r>
      <w:r w:rsidRPr="001C76AC">
        <w:rPr>
          <w:rFonts w:ascii="Verdana" w:hAnsi="Verdana"/>
        </w:rPr>
        <w:t>cual se</w:t>
      </w:r>
      <w:r w:rsidRPr="001C76AC">
        <w:rPr>
          <w:rFonts w:ascii="Verdana" w:hAnsi="Verdana"/>
          <w:spacing w:val="3"/>
        </w:rPr>
        <w:t xml:space="preserve"> </w:t>
      </w:r>
      <w:r w:rsidRPr="001C76AC">
        <w:rPr>
          <w:rFonts w:ascii="Verdana" w:hAnsi="Verdana"/>
        </w:rPr>
        <w:t>informó de</w:t>
      </w:r>
      <w:r w:rsidRPr="001C76AC">
        <w:rPr>
          <w:rFonts w:ascii="Verdana" w:hAnsi="Verdana"/>
          <w:spacing w:val="-2"/>
        </w:rPr>
        <w:t xml:space="preserve"> </w:t>
      </w:r>
      <w:r w:rsidRPr="001C76AC">
        <w:rPr>
          <w:rFonts w:ascii="Verdana" w:hAnsi="Verdana"/>
        </w:rPr>
        <w:t>la convocatoria</w:t>
      </w:r>
      <w:bookmarkEnd w:id="0"/>
    </w:p>
    <w:p w14:paraId="355011D8" w14:textId="77777777" w:rsidR="00235687" w:rsidRPr="00AD38EB" w:rsidRDefault="00235687" w:rsidP="00EE3567">
      <w:pPr>
        <w:pStyle w:val="Prrafodelista"/>
        <w:spacing w:after="0" w:line="240" w:lineRule="auto"/>
        <w:rPr>
          <w:rFonts w:ascii="Verdana" w:hAnsi="Verdana"/>
        </w:rPr>
      </w:pPr>
    </w:p>
    <w:p w14:paraId="4AE5F893" w14:textId="1E28537D" w:rsidR="00134869" w:rsidRPr="00AD38EB" w:rsidRDefault="00134869" w:rsidP="00EE3567">
      <w:pPr>
        <w:pStyle w:val="Prrafodelista"/>
        <w:widowControl w:val="0"/>
        <w:numPr>
          <w:ilvl w:val="1"/>
          <w:numId w:val="4"/>
        </w:numPr>
        <w:tabs>
          <w:tab w:val="left" w:pos="888"/>
        </w:tabs>
        <w:autoSpaceDE w:val="0"/>
        <w:autoSpaceDN w:val="0"/>
        <w:spacing w:after="0" w:line="240" w:lineRule="auto"/>
        <w:ind w:right="195"/>
        <w:contextualSpacing w:val="0"/>
        <w:jc w:val="both"/>
        <w:rPr>
          <w:rFonts w:ascii="Verdana" w:hAnsi="Verdana"/>
        </w:rPr>
      </w:pPr>
      <w:r w:rsidRPr="00AD38EB">
        <w:rPr>
          <w:rFonts w:ascii="Verdana" w:hAnsi="Verdana"/>
        </w:rPr>
        <w:t>Constancia de verificación de los asociados hábiles e inhábiles, expedida por la Junta de Vigilancia, o el</w:t>
      </w:r>
      <w:r w:rsidRPr="00AD38EB">
        <w:rPr>
          <w:rFonts w:ascii="Verdana" w:hAnsi="Verdana"/>
          <w:spacing w:val="1"/>
        </w:rPr>
        <w:t xml:space="preserve"> </w:t>
      </w:r>
      <w:r w:rsidRPr="00AD38EB">
        <w:rPr>
          <w:rFonts w:ascii="Verdana" w:hAnsi="Verdana"/>
        </w:rPr>
        <w:t>órgano equivalente,</w:t>
      </w:r>
      <w:r w:rsidRPr="00AD38EB">
        <w:rPr>
          <w:rFonts w:ascii="Verdana" w:hAnsi="Verdana"/>
          <w:spacing w:val="1"/>
        </w:rPr>
        <w:t xml:space="preserve"> </w:t>
      </w:r>
      <w:r w:rsidRPr="00AD38EB">
        <w:rPr>
          <w:rFonts w:ascii="Verdana" w:hAnsi="Verdana"/>
        </w:rPr>
        <w:t>la cual deberá incluir</w:t>
      </w:r>
      <w:r w:rsidRPr="00AD38EB">
        <w:rPr>
          <w:rFonts w:ascii="Verdana" w:hAnsi="Verdana"/>
          <w:spacing w:val="61"/>
        </w:rPr>
        <w:t xml:space="preserve"> </w:t>
      </w:r>
      <w:r w:rsidRPr="00AD38EB">
        <w:rPr>
          <w:rFonts w:ascii="Verdana" w:hAnsi="Verdana"/>
        </w:rPr>
        <w:t>la fecha en que se hizo el corte</w:t>
      </w:r>
      <w:r w:rsidRPr="00AD38EB">
        <w:rPr>
          <w:rFonts w:ascii="Verdana" w:hAnsi="Verdana"/>
          <w:spacing w:val="1"/>
        </w:rPr>
        <w:t xml:space="preserve"> </w:t>
      </w:r>
      <w:r w:rsidRPr="00AD38EB">
        <w:rPr>
          <w:rFonts w:ascii="Verdana" w:hAnsi="Verdana"/>
        </w:rPr>
        <w:t>para</w:t>
      </w:r>
      <w:r w:rsidRPr="00AD38EB">
        <w:rPr>
          <w:rFonts w:ascii="Verdana" w:hAnsi="Verdana"/>
          <w:spacing w:val="-1"/>
        </w:rPr>
        <w:t xml:space="preserve"> </w:t>
      </w:r>
      <w:r w:rsidRPr="00AD38EB">
        <w:rPr>
          <w:rFonts w:ascii="Verdana" w:hAnsi="Verdana"/>
        </w:rPr>
        <w:t>determinar los</w:t>
      </w:r>
      <w:r w:rsidRPr="00AD38EB">
        <w:rPr>
          <w:rFonts w:ascii="Verdana" w:hAnsi="Verdana"/>
          <w:spacing w:val="-3"/>
        </w:rPr>
        <w:t xml:space="preserve"> </w:t>
      </w:r>
      <w:r w:rsidRPr="00AD38EB">
        <w:rPr>
          <w:rFonts w:ascii="Verdana" w:hAnsi="Verdana"/>
        </w:rPr>
        <w:t>asociados</w:t>
      </w:r>
      <w:r w:rsidRPr="00AD38EB">
        <w:rPr>
          <w:rFonts w:ascii="Verdana" w:hAnsi="Verdana"/>
          <w:spacing w:val="-1"/>
        </w:rPr>
        <w:t xml:space="preserve"> </w:t>
      </w:r>
      <w:r w:rsidRPr="00AD38EB">
        <w:rPr>
          <w:rFonts w:ascii="Verdana" w:hAnsi="Verdana"/>
        </w:rPr>
        <w:t>hábiles e inhábiles.</w:t>
      </w:r>
    </w:p>
    <w:p w14:paraId="1B841415" w14:textId="77777777" w:rsidR="00235687" w:rsidRPr="00AD38EB" w:rsidRDefault="00235687" w:rsidP="00EE3567">
      <w:pPr>
        <w:pStyle w:val="Prrafodelista"/>
        <w:spacing w:after="0" w:line="240" w:lineRule="auto"/>
        <w:rPr>
          <w:rFonts w:ascii="Verdana" w:hAnsi="Verdana"/>
        </w:rPr>
      </w:pPr>
    </w:p>
    <w:p w14:paraId="737E0E98" w14:textId="5EB158D8" w:rsidR="00134869" w:rsidRPr="00AD38EB" w:rsidRDefault="00134869" w:rsidP="00EE3567">
      <w:pPr>
        <w:pStyle w:val="Prrafodelista"/>
        <w:widowControl w:val="0"/>
        <w:numPr>
          <w:ilvl w:val="1"/>
          <w:numId w:val="4"/>
        </w:numPr>
        <w:tabs>
          <w:tab w:val="left" w:pos="888"/>
        </w:tabs>
        <w:autoSpaceDE w:val="0"/>
        <w:autoSpaceDN w:val="0"/>
        <w:spacing w:after="0" w:line="240" w:lineRule="auto"/>
        <w:ind w:right="193"/>
        <w:contextualSpacing w:val="0"/>
        <w:jc w:val="both"/>
        <w:rPr>
          <w:rFonts w:ascii="Verdana" w:hAnsi="Verdana"/>
        </w:rPr>
      </w:pPr>
      <w:r w:rsidRPr="00AD38EB">
        <w:rPr>
          <w:rFonts w:ascii="Verdana" w:hAnsi="Verdana"/>
        </w:rPr>
        <w:t>Constancia de publicación del listado de asociados hábiles e inhábiles, la cual deberá realizarse previamente a la celebración de la reunión de la</w:t>
      </w:r>
      <w:r w:rsidRPr="00AD38EB">
        <w:rPr>
          <w:rFonts w:ascii="Verdana" w:hAnsi="Verdana"/>
          <w:spacing w:val="1"/>
        </w:rPr>
        <w:t xml:space="preserve"> </w:t>
      </w:r>
      <w:r w:rsidRPr="00AD38EB">
        <w:rPr>
          <w:rFonts w:ascii="Verdana" w:hAnsi="Verdana"/>
        </w:rPr>
        <w:t xml:space="preserve">Asamblea General, en la que deberá </w:t>
      </w:r>
      <w:r w:rsidR="0053457A">
        <w:rPr>
          <w:rFonts w:ascii="Verdana" w:hAnsi="Verdana"/>
        </w:rPr>
        <w:t xml:space="preserve">evidenciarse </w:t>
      </w:r>
      <w:r w:rsidRPr="00AD38EB">
        <w:rPr>
          <w:rFonts w:ascii="Verdana" w:hAnsi="Verdana"/>
        </w:rPr>
        <w:t>que se informó a los asociados inhábiles, si los hubiere, sobre su condición, las razones por la</w:t>
      </w:r>
      <w:r w:rsidRPr="00AD38EB">
        <w:rPr>
          <w:rFonts w:ascii="Verdana" w:hAnsi="Verdana"/>
          <w:spacing w:val="1"/>
        </w:rPr>
        <w:t xml:space="preserve"> </w:t>
      </w:r>
      <w:r w:rsidRPr="00AD38EB">
        <w:rPr>
          <w:rFonts w:ascii="Verdana" w:hAnsi="Verdana"/>
        </w:rPr>
        <w:t>que adquirieron la inhabilidad, los efectos que le representan y los mecanismos con que cuentan para superar dicha situación.</w:t>
      </w:r>
    </w:p>
    <w:p w14:paraId="4F254E3D" w14:textId="77777777" w:rsidR="00235687" w:rsidRPr="00AD38EB" w:rsidRDefault="00235687" w:rsidP="00EE3567">
      <w:pPr>
        <w:pStyle w:val="Prrafodelista"/>
        <w:spacing w:after="0" w:line="240" w:lineRule="auto"/>
        <w:rPr>
          <w:rFonts w:ascii="Verdana" w:hAnsi="Verdana"/>
        </w:rPr>
      </w:pPr>
    </w:p>
    <w:p w14:paraId="190F02D4" w14:textId="77777777" w:rsidR="00EB41EE" w:rsidRDefault="00EB41EE" w:rsidP="00EB41EE">
      <w:pPr>
        <w:pStyle w:val="Prrafodelista"/>
        <w:widowControl w:val="0"/>
        <w:numPr>
          <w:ilvl w:val="1"/>
          <w:numId w:val="4"/>
        </w:numPr>
        <w:tabs>
          <w:tab w:val="left" w:pos="888"/>
        </w:tabs>
        <w:autoSpaceDE w:val="0"/>
        <w:autoSpaceDN w:val="0"/>
        <w:spacing w:after="0" w:line="240" w:lineRule="auto"/>
        <w:jc w:val="both"/>
        <w:rPr>
          <w:rFonts w:ascii="Verdana" w:hAnsi="Verdana"/>
        </w:rPr>
      </w:pPr>
      <w:r w:rsidRPr="00EB41EE">
        <w:rPr>
          <w:rFonts w:ascii="Verdana" w:hAnsi="Verdana"/>
        </w:rPr>
        <w:t xml:space="preserve">Cuando se trate de reformas estatutarias, el cuadro comparativo del texto estatutario anterior y del texto modificado. </w:t>
      </w:r>
    </w:p>
    <w:p w14:paraId="35CD5F56" w14:textId="77777777" w:rsidR="00EB41EE" w:rsidRPr="00EB41EE" w:rsidRDefault="00EB41EE" w:rsidP="00EB41EE">
      <w:pPr>
        <w:pStyle w:val="Prrafodelista"/>
        <w:widowControl w:val="0"/>
        <w:tabs>
          <w:tab w:val="left" w:pos="888"/>
        </w:tabs>
        <w:autoSpaceDE w:val="0"/>
        <w:autoSpaceDN w:val="0"/>
        <w:spacing w:after="0" w:line="240" w:lineRule="auto"/>
        <w:ind w:left="900"/>
        <w:jc w:val="both"/>
        <w:rPr>
          <w:rFonts w:ascii="Verdana" w:hAnsi="Verdana"/>
        </w:rPr>
      </w:pPr>
    </w:p>
    <w:p w14:paraId="4602CC56" w14:textId="6BC6EE28" w:rsidR="00134869" w:rsidRPr="00EB41EE" w:rsidRDefault="00EB41EE" w:rsidP="00EB41EE">
      <w:pPr>
        <w:pStyle w:val="Prrafodelista"/>
        <w:widowControl w:val="0"/>
        <w:numPr>
          <w:ilvl w:val="1"/>
          <w:numId w:val="4"/>
        </w:numPr>
        <w:tabs>
          <w:tab w:val="left" w:pos="888"/>
        </w:tabs>
        <w:autoSpaceDE w:val="0"/>
        <w:autoSpaceDN w:val="0"/>
        <w:spacing w:after="0" w:line="240" w:lineRule="auto"/>
        <w:jc w:val="both"/>
        <w:rPr>
          <w:rFonts w:ascii="Verdana" w:hAnsi="Verdana"/>
        </w:rPr>
      </w:pPr>
      <w:r w:rsidRPr="00EB41EE">
        <w:rPr>
          <w:rFonts w:ascii="Verdana" w:hAnsi="Verdana"/>
        </w:rPr>
        <w:t>Copia de los estatutos completos reformados.</w:t>
      </w:r>
    </w:p>
    <w:p w14:paraId="6700FD55" w14:textId="580CB05B" w:rsidR="004537F0" w:rsidRPr="00AD38EB" w:rsidRDefault="004537F0" w:rsidP="00EE3567">
      <w:pPr>
        <w:spacing w:after="0" w:line="240" w:lineRule="auto"/>
        <w:jc w:val="both"/>
        <w:rPr>
          <w:rFonts w:ascii="Verdana" w:hAnsi="Verdana"/>
        </w:rPr>
      </w:pPr>
    </w:p>
    <w:p w14:paraId="79D66C72" w14:textId="592292EA" w:rsidR="00AD38EB" w:rsidRDefault="00AD38EB" w:rsidP="00EE3567">
      <w:pPr>
        <w:spacing w:after="0" w:line="240" w:lineRule="auto"/>
        <w:jc w:val="both"/>
        <w:rPr>
          <w:rFonts w:ascii="Verdana" w:hAnsi="Verdana"/>
        </w:rPr>
      </w:pPr>
      <w:r w:rsidRPr="00AD38EB">
        <w:rPr>
          <w:rFonts w:ascii="Verdana" w:hAnsi="Verdana"/>
        </w:rPr>
        <w:t>En virtud del artículo 39 de la Ley 454 de 1998, que modificó el artículo 99 de la Ley 79 de 1988, el ejercicio de la actividad financiera</w:t>
      </w:r>
      <w:r w:rsidR="00C45CBB">
        <w:rPr>
          <w:rFonts w:ascii="Verdana" w:hAnsi="Verdana"/>
        </w:rPr>
        <w:t xml:space="preserve"> se desarrolla de forma especializada y </w:t>
      </w:r>
      <w:r w:rsidRPr="00AD38EB">
        <w:rPr>
          <w:rFonts w:ascii="Verdana" w:hAnsi="Verdana"/>
        </w:rPr>
        <w:t xml:space="preserve">previa autorización del organismo encargado de su control; esto de acuerdo con lo dispuesto en el artículo 335 de la Constitución Política de Colombia, que refiere que la actividad financiera es de interés público y solo puede ejercerse previa autorización del Estado. </w:t>
      </w:r>
    </w:p>
    <w:p w14:paraId="1E6AF7FF" w14:textId="77777777" w:rsidR="00EE3567" w:rsidRPr="00AD38EB" w:rsidRDefault="00EE3567" w:rsidP="00EE3567">
      <w:pPr>
        <w:spacing w:after="0" w:line="240" w:lineRule="auto"/>
        <w:jc w:val="both"/>
        <w:rPr>
          <w:rFonts w:ascii="Verdana" w:hAnsi="Verdana"/>
        </w:rPr>
      </w:pPr>
    </w:p>
    <w:p w14:paraId="4E1FDC12" w14:textId="08B8B513" w:rsidR="00AD38EB" w:rsidRDefault="00AD38EB" w:rsidP="00EE3567">
      <w:pPr>
        <w:spacing w:after="0" w:line="240" w:lineRule="auto"/>
        <w:jc w:val="both"/>
        <w:rPr>
          <w:rFonts w:ascii="Verdana" w:hAnsi="Verdana"/>
        </w:rPr>
      </w:pPr>
      <w:r w:rsidRPr="00AD38EB">
        <w:rPr>
          <w:rFonts w:ascii="Verdana" w:hAnsi="Verdana"/>
        </w:rPr>
        <w:t xml:space="preserve">En consecuencia, cualquier modificación estatutaria que se encuentre directamente relacionada con </w:t>
      </w:r>
      <w:r w:rsidR="00C45CBB">
        <w:rPr>
          <w:rFonts w:ascii="Verdana" w:hAnsi="Verdana"/>
        </w:rPr>
        <w:t xml:space="preserve">el cumplimiento de los requisitos necesarios </w:t>
      </w:r>
      <w:r w:rsidRPr="00AD38EB">
        <w:rPr>
          <w:rFonts w:ascii="Verdana" w:hAnsi="Verdana"/>
        </w:rPr>
        <w:t xml:space="preserve">para </w:t>
      </w:r>
      <w:r w:rsidR="00C45CBB">
        <w:rPr>
          <w:rFonts w:ascii="Verdana" w:hAnsi="Verdana"/>
        </w:rPr>
        <w:t xml:space="preserve">la autorización del </w:t>
      </w:r>
      <w:r w:rsidRPr="00AD38EB">
        <w:rPr>
          <w:rFonts w:ascii="Verdana" w:hAnsi="Verdana"/>
        </w:rPr>
        <w:t>ejercicio de la actividad financiera en el cooperativismo, deberá, previo a su implementación, someterse a la autorización de esta Superintendencia</w:t>
      </w:r>
      <w:r w:rsidR="00C45CBB">
        <w:rPr>
          <w:rFonts w:ascii="Verdana" w:hAnsi="Verdana"/>
        </w:rPr>
        <w:t xml:space="preserve">. </w:t>
      </w:r>
    </w:p>
    <w:p w14:paraId="31075FA9" w14:textId="77777777" w:rsidR="00EE3567" w:rsidRDefault="00EE3567" w:rsidP="00EE3567">
      <w:pPr>
        <w:spacing w:after="0" w:line="240" w:lineRule="auto"/>
        <w:jc w:val="both"/>
        <w:rPr>
          <w:rFonts w:ascii="Verdana" w:hAnsi="Verdana"/>
        </w:rPr>
      </w:pPr>
    </w:p>
    <w:p w14:paraId="4790AAC0" w14:textId="02EDB45C" w:rsidR="00C45CBB" w:rsidRDefault="00C45CBB" w:rsidP="00EE3567">
      <w:pPr>
        <w:spacing w:after="0" w:line="240" w:lineRule="auto"/>
        <w:jc w:val="both"/>
        <w:rPr>
          <w:rFonts w:ascii="Verdana" w:hAnsi="Verdana"/>
        </w:rPr>
      </w:pPr>
      <w:r>
        <w:rPr>
          <w:rFonts w:ascii="Verdana" w:hAnsi="Verdana"/>
        </w:rPr>
        <w:t>A título enunciativo, cuando la reforma estatutaria verse sobre:</w:t>
      </w:r>
    </w:p>
    <w:p w14:paraId="742CD85A" w14:textId="77777777" w:rsidR="00EE3567" w:rsidRPr="00AD38EB" w:rsidRDefault="00EE3567" w:rsidP="00EE3567">
      <w:pPr>
        <w:spacing w:after="0" w:line="240" w:lineRule="auto"/>
        <w:jc w:val="both"/>
        <w:rPr>
          <w:rFonts w:ascii="Verdana" w:hAnsi="Verdana"/>
        </w:rPr>
      </w:pPr>
    </w:p>
    <w:p w14:paraId="12E800DC" w14:textId="26CEA3B4" w:rsidR="00C45CBB" w:rsidRDefault="00C45CBB" w:rsidP="00EE3567">
      <w:pPr>
        <w:pStyle w:val="Prrafodelista"/>
        <w:numPr>
          <w:ilvl w:val="0"/>
          <w:numId w:val="5"/>
        </w:numPr>
        <w:spacing w:after="0" w:line="240" w:lineRule="auto"/>
        <w:jc w:val="both"/>
        <w:rPr>
          <w:rFonts w:ascii="Verdana" w:hAnsi="Verdana"/>
        </w:rPr>
      </w:pPr>
      <w:r w:rsidRPr="00C45CBB">
        <w:rPr>
          <w:rFonts w:ascii="Verdana" w:hAnsi="Verdana"/>
        </w:rPr>
        <w:t>Modificación</w:t>
      </w:r>
      <w:r w:rsidR="00E024C4" w:rsidRPr="00C45CBB">
        <w:rPr>
          <w:rFonts w:ascii="Verdana" w:hAnsi="Verdana"/>
        </w:rPr>
        <w:t xml:space="preserve"> de</w:t>
      </w:r>
      <w:r w:rsidR="0053457A">
        <w:rPr>
          <w:rFonts w:ascii="Verdana" w:hAnsi="Verdana"/>
        </w:rPr>
        <w:t>l</w:t>
      </w:r>
      <w:r w:rsidR="00E024C4" w:rsidRPr="00C45CBB">
        <w:rPr>
          <w:rFonts w:ascii="Verdana" w:hAnsi="Verdana"/>
        </w:rPr>
        <w:t xml:space="preserve"> vínculo de asocia</w:t>
      </w:r>
      <w:r w:rsidRPr="00C45CBB">
        <w:rPr>
          <w:rFonts w:ascii="Verdana" w:hAnsi="Verdana"/>
        </w:rPr>
        <w:t>ción.</w:t>
      </w:r>
    </w:p>
    <w:p w14:paraId="01327317" w14:textId="1FCE2266" w:rsidR="00C45CBB" w:rsidRDefault="0053457A" w:rsidP="00EE3567">
      <w:pPr>
        <w:pStyle w:val="Prrafodelista"/>
        <w:numPr>
          <w:ilvl w:val="0"/>
          <w:numId w:val="5"/>
        </w:numPr>
        <w:spacing w:after="0" w:line="240" w:lineRule="auto"/>
        <w:jc w:val="both"/>
        <w:rPr>
          <w:rFonts w:ascii="Verdana" w:hAnsi="Verdana"/>
        </w:rPr>
      </w:pPr>
      <w:r>
        <w:rPr>
          <w:rFonts w:ascii="Verdana" w:hAnsi="Verdana"/>
        </w:rPr>
        <w:t>Modificación de las c</w:t>
      </w:r>
      <w:r w:rsidR="00C45CBB">
        <w:rPr>
          <w:rFonts w:ascii="Verdana" w:hAnsi="Verdana"/>
        </w:rPr>
        <w:t xml:space="preserve">ircunstancias especiales, las condiciones sociales o económicas para el ejercicio de la multiactividad. </w:t>
      </w:r>
    </w:p>
    <w:p w14:paraId="2122E5EA" w14:textId="4686BE9E" w:rsidR="00C45CBB" w:rsidRDefault="0053457A" w:rsidP="00EE3567">
      <w:pPr>
        <w:pStyle w:val="Prrafodelista"/>
        <w:numPr>
          <w:ilvl w:val="0"/>
          <w:numId w:val="5"/>
        </w:numPr>
        <w:spacing w:after="0" w:line="240" w:lineRule="auto"/>
        <w:jc w:val="both"/>
        <w:rPr>
          <w:rFonts w:ascii="Verdana" w:hAnsi="Verdana"/>
        </w:rPr>
      </w:pPr>
      <w:r>
        <w:rPr>
          <w:rFonts w:ascii="Verdana" w:hAnsi="Verdana"/>
        </w:rPr>
        <w:t>Modificación del m</w:t>
      </w:r>
      <w:r w:rsidR="00C45CBB">
        <w:rPr>
          <w:rFonts w:ascii="Verdana" w:hAnsi="Verdana"/>
        </w:rPr>
        <w:t xml:space="preserve">onto de aportes sociales mínimos para el ejercicio de la actividad financiera. </w:t>
      </w:r>
    </w:p>
    <w:p w14:paraId="6293A482" w14:textId="4D29B1DB" w:rsidR="00C45CBB" w:rsidRDefault="00FF3785" w:rsidP="00EE3567">
      <w:pPr>
        <w:pStyle w:val="Prrafodelista"/>
        <w:numPr>
          <w:ilvl w:val="0"/>
          <w:numId w:val="5"/>
        </w:numPr>
        <w:spacing w:after="0" w:line="240" w:lineRule="auto"/>
        <w:jc w:val="both"/>
        <w:rPr>
          <w:rFonts w:ascii="Verdana" w:hAnsi="Verdana"/>
        </w:rPr>
      </w:pPr>
      <w:r>
        <w:rPr>
          <w:rFonts w:ascii="Verdana" w:hAnsi="Verdana"/>
        </w:rPr>
        <w:t>Modificación del objeto social, operaciones autorizadas</w:t>
      </w:r>
      <w:r w:rsidR="0053457A">
        <w:rPr>
          <w:rFonts w:ascii="Verdana" w:hAnsi="Verdana"/>
        </w:rPr>
        <w:t xml:space="preserve"> o</w:t>
      </w:r>
      <w:r>
        <w:rPr>
          <w:rFonts w:ascii="Verdana" w:hAnsi="Verdana"/>
        </w:rPr>
        <w:t xml:space="preserve"> régimen de inversiones. </w:t>
      </w:r>
    </w:p>
    <w:p w14:paraId="5D59DF00" w14:textId="77777777" w:rsidR="00EE3567" w:rsidRDefault="00FF3785" w:rsidP="00EE3567">
      <w:pPr>
        <w:pStyle w:val="Prrafodelista"/>
        <w:numPr>
          <w:ilvl w:val="0"/>
          <w:numId w:val="5"/>
        </w:numPr>
        <w:spacing w:after="0" w:line="240" w:lineRule="auto"/>
        <w:jc w:val="both"/>
        <w:rPr>
          <w:rFonts w:ascii="Verdana" w:hAnsi="Verdana"/>
        </w:rPr>
      </w:pPr>
      <w:r>
        <w:rPr>
          <w:rFonts w:ascii="Verdana" w:hAnsi="Verdana"/>
        </w:rPr>
        <w:lastRenderedPageBreak/>
        <w:t>Las demás que se vinculen directamente con las condiciones para el otorgamiento de la autorización para el ejercicio de la actividad financiera.</w:t>
      </w:r>
    </w:p>
    <w:p w14:paraId="283B5882" w14:textId="7774F7F8" w:rsidR="00FF3785" w:rsidRPr="00C45CBB" w:rsidRDefault="00FF3785" w:rsidP="00EE3567">
      <w:pPr>
        <w:pStyle w:val="Prrafodelista"/>
        <w:spacing w:after="0" w:line="240" w:lineRule="auto"/>
        <w:jc w:val="both"/>
        <w:rPr>
          <w:rFonts w:ascii="Verdana" w:hAnsi="Verdana"/>
        </w:rPr>
      </w:pPr>
      <w:r>
        <w:rPr>
          <w:rFonts w:ascii="Verdana" w:hAnsi="Verdana"/>
        </w:rPr>
        <w:t xml:space="preserve"> </w:t>
      </w:r>
    </w:p>
    <w:p w14:paraId="30EB84E2" w14:textId="1095ED46" w:rsidR="00FF3785" w:rsidRDefault="00FF3785" w:rsidP="00EE3567">
      <w:pPr>
        <w:spacing w:after="0" w:line="240" w:lineRule="auto"/>
        <w:jc w:val="both"/>
        <w:rPr>
          <w:rFonts w:ascii="Verdana" w:hAnsi="Verdana"/>
        </w:rPr>
      </w:pPr>
      <w:r>
        <w:rPr>
          <w:rFonts w:ascii="Verdana" w:hAnsi="Verdana"/>
        </w:rPr>
        <w:t>En los escenarios anteriores, la cooperativa enviará los documentos para la autorización previa de implementación de la reforma estatutaria dentro de los diez (10) días siguientes a la celebración de la reunión de la Asamblea General en la cual se decidió dicha modificación</w:t>
      </w:r>
      <w:r w:rsidR="00112873">
        <w:rPr>
          <w:rFonts w:ascii="Verdana" w:hAnsi="Verdana"/>
        </w:rPr>
        <w:t xml:space="preserve">, sujetándose al envío de los documentos enunciados en el presente capítulo. La Superintendencia se pronunciará dentro de los treinta (30) días siguientes a la fecha de radicación de la totalidad de documentos, término que se prorrogará en caso de que sea necesario el decreto de pruebas para tomar la decisión correspondiente. </w:t>
      </w:r>
    </w:p>
    <w:p w14:paraId="2EC19D3F" w14:textId="62BC4363" w:rsidR="00E024C4" w:rsidRPr="00AD38EB" w:rsidRDefault="00E024C4" w:rsidP="00EE3567">
      <w:pPr>
        <w:spacing w:after="0" w:line="240" w:lineRule="auto"/>
        <w:jc w:val="both"/>
        <w:rPr>
          <w:rFonts w:ascii="Verdana" w:hAnsi="Verdana"/>
        </w:rPr>
      </w:pPr>
    </w:p>
    <w:sectPr w:rsidR="00E024C4" w:rsidRPr="00AD3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03D7"/>
    <w:multiLevelType w:val="hybridMultilevel"/>
    <w:tmpl w:val="EB082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2A116BC"/>
    <w:multiLevelType w:val="hybridMultilevel"/>
    <w:tmpl w:val="B954518A"/>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240A0001">
      <w:start w:val="1"/>
      <w:numFmt w:val="bullet"/>
      <w:lvlText w:val=""/>
      <w:lvlJc w:val="left"/>
      <w:pPr>
        <w:ind w:left="900" w:hanging="348"/>
      </w:pPr>
      <w:rPr>
        <w:rFonts w:ascii="Symbol" w:hAnsi="Symbol" w:hint="default"/>
        <w:w w:val="100"/>
        <w:sz w:val="22"/>
        <w:szCs w:val="22"/>
        <w:lang w:val="es-ES" w:eastAsia="en-US" w:bidi="ar-SA"/>
      </w:rPr>
    </w:lvl>
    <w:lvl w:ilvl="2" w:tplc="19960184">
      <w:numFmt w:val="bullet"/>
      <w:lvlText w:val="•"/>
      <w:lvlJc w:val="left"/>
      <w:pPr>
        <w:ind w:left="2442" w:hanging="348"/>
      </w:pPr>
      <w:rPr>
        <w:rFonts w:hint="default"/>
        <w:lang w:val="es-ES" w:eastAsia="en-US" w:bidi="ar-SA"/>
      </w:rPr>
    </w:lvl>
    <w:lvl w:ilvl="3" w:tplc="65BC7268">
      <w:numFmt w:val="bullet"/>
      <w:lvlText w:val="•"/>
      <w:lvlJc w:val="left"/>
      <w:pPr>
        <w:ind w:left="3984" w:hanging="348"/>
      </w:pPr>
      <w:rPr>
        <w:rFonts w:hint="default"/>
        <w:lang w:val="es-ES" w:eastAsia="en-US" w:bidi="ar-SA"/>
      </w:rPr>
    </w:lvl>
    <w:lvl w:ilvl="4" w:tplc="7C125484">
      <w:numFmt w:val="bullet"/>
      <w:lvlText w:val="•"/>
      <w:lvlJc w:val="left"/>
      <w:pPr>
        <w:ind w:left="5526" w:hanging="348"/>
      </w:pPr>
      <w:rPr>
        <w:rFonts w:hint="default"/>
        <w:lang w:val="es-ES" w:eastAsia="en-US" w:bidi="ar-SA"/>
      </w:rPr>
    </w:lvl>
    <w:lvl w:ilvl="5" w:tplc="D2B64D26">
      <w:numFmt w:val="bullet"/>
      <w:lvlText w:val="•"/>
      <w:lvlJc w:val="left"/>
      <w:pPr>
        <w:ind w:left="7068" w:hanging="348"/>
      </w:pPr>
      <w:rPr>
        <w:rFonts w:hint="default"/>
        <w:lang w:val="es-ES" w:eastAsia="en-US" w:bidi="ar-SA"/>
      </w:rPr>
    </w:lvl>
    <w:lvl w:ilvl="6" w:tplc="2618C46C">
      <w:numFmt w:val="bullet"/>
      <w:lvlText w:val="•"/>
      <w:lvlJc w:val="left"/>
      <w:pPr>
        <w:ind w:left="8611" w:hanging="348"/>
      </w:pPr>
      <w:rPr>
        <w:rFonts w:hint="default"/>
        <w:lang w:val="es-ES" w:eastAsia="en-US" w:bidi="ar-SA"/>
      </w:rPr>
    </w:lvl>
    <w:lvl w:ilvl="7" w:tplc="10D069A8">
      <w:numFmt w:val="bullet"/>
      <w:lvlText w:val="•"/>
      <w:lvlJc w:val="left"/>
      <w:pPr>
        <w:ind w:left="10153" w:hanging="348"/>
      </w:pPr>
      <w:rPr>
        <w:rFonts w:hint="default"/>
        <w:lang w:val="es-ES" w:eastAsia="en-US" w:bidi="ar-SA"/>
      </w:rPr>
    </w:lvl>
    <w:lvl w:ilvl="8" w:tplc="BE5C43A0">
      <w:numFmt w:val="bullet"/>
      <w:lvlText w:val="•"/>
      <w:lvlJc w:val="left"/>
      <w:pPr>
        <w:ind w:left="11695" w:hanging="348"/>
      </w:pPr>
      <w:rPr>
        <w:rFonts w:hint="default"/>
        <w:lang w:val="es-ES" w:eastAsia="en-US" w:bidi="ar-SA"/>
      </w:rPr>
    </w:lvl>
  </w:abstractNum>
  <w:abstractNum w:abstractNumId="2" w15:restartNumberingAfterBreak="0">
    <w:nsid w:val="68F67FE1"/>
    <w:multiLevelType w:val="hybridMultilevel"/>
    <w:tmpl w:val="83002D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BD77542"/>
    <w:multiLevelType w:val="hybridMultilevel"/>
    <w:tmpl w:val="7F94D166"/>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A1BC139E">
      <w:numFmt w:val="bullet"/>
      <w:lvlText w:val=""/>
      <w:lvlJc w:val="left"/>
      <w:pPr>
        <w:ind w:left="900" w:hanging="348"/>
      </w:pPr>
      <w:rPr>
        <w:rFonts w:ascii="Wingdings" w:eastAsia="Wingdings" w:hAnsi="Wingdings" w:cs="Wingdings" w:hint="default"/>
        <w:w w:val="100"/>
        <w:sz w:val="22"/>
        <w:szCs w:val="22"/>
        <w:lang w:val="es-ES" w:eastAsia="en-US" w:bidi="ar-SA"/>
      </w:rPr>
    </w:lvl>
    <w:lvl w:ilvl="2" w:tplc="19960184">
      <w:numFmt w:val="bullet"/>
      <w:lvlText w:val="•"/>
      <w:lvlJc w:val="left"/>
      <w:pPr>
        <w:ind w:left="2442" w:hanging="348"/>
      </w:pPr>
      <w:rPr>
        <w:rFonts w:hint="default"/>
        <w:lang w:val="es-ES" w:eastAsia="en-US" w:bidi="ar-SA"/>
      </w:rPr>
    </w:lvl>
    <w:lvl w:ilvl="3" w:tplc="65BC7268">
      <w:numFmt w:val="bullet"/>
      <w:lvlText w:val="•"/>
      <w:lvlJc w:val="left"/>
      <w:pPr>
        <w:ind w:left="3984" w:hanging="348"/>
      </w:pPr>
      <w:rPr>
        <w:rFonts w:hint="default"/>
        <w:lang w:val="es-ES" w:eastAsia="en-US" w:bidi="ar-SA"/>
      </w:rPr>
    </w:lvl>
    <w:lvl w:ilvl="4" w:tplc="7C125484">
      <w:numFmt w:val="bullet"/>
      <w:lvlText w:val="•"/>
      <w:lvlJc w:val="left"/>
      <w:pPr>
        <w:ind w:left="5526" w:hanging="348"/>
      </w:pPr>
      <w:rPr>
        <w:rFonts w:hint="default"/>
        <w:lang w:val="es-ES" w:eastAsia="en-US" w:bidi="ar-SA"/>
      </w:rPr>
    </w:lvl>
    <w:lvl w:ilvl="5" w:tplc="D2B64D26">
      <w:numFmt w:val="bullet"/>
      <w:lvlText w:val="•"/>
      <w:lvlJc w:val="left"/>
      <w:pPr>
        <w:ind w:left="7068" w:hanging="348"/>
      </w:pPr>
      <w:rPr>
        <w:rFonts w:hint="default"/>
        <w:lang w:val="es-ES" w:eastAsia="en-US" w:bidi="ar-SA"/>
      </w:rPr>
    </w:lvl>
    <w:lvl w:ilvl="6" w:tplc="2618C46C">
      <w:numFmt w:val="bullet"/>
      <w:lvlText w:val="•"/>
      <w:lvlJc w:val="left"/>
      <w:pPr>
        <w:ind w:left="8611" w:hanging="348"/>
      </w:pPr>
      <w:rPr>
        <w:rFonts w:hint="default"/>
        <w:lang w:val="es-ES" w:eastAsia="en-US" w:bidi="ar-SA"/>
      </w:rPr>
    </w:lvl>
    <w:lvl w:ilvl="7" w:tplc="10D069A8">
      <w:numFmt w:val="bullet"/>
      <w:lvlText w:val="•"/>
      <w:lvlJc w:val="left"/>
      <w:pPr>
        <w:ind w:left="10153" w:hanging="348"/>
      </w:pPr>
      <w:rPr>
        <w:rFonts w:hint="default"/>
        <w:lang w:val="es-ES" w:eastAsia="en-US" w:bidi="ar-SA"/>
      </w:rPr>
    </w:lvl>
    <w:lvl w:ilvl="8" w:tplc="BE5C43A0">
      <w:numFmt w:val="bullet"/>
      <w:lvlText w:val="•"/>
      <w:lvlJc w:val="left"/>
      <w:pPr>
        <w:ind w:left="11695" w:hanging="348"/>
      </w:pPr>
      <w:rPr>
        <w:rFonts w:hint="default"/>
        <w:lang w:val="es-ES" w:eastAsia="en-US" w:bidi="ar-SA"/>
      </w:rPr>
    </w:lvl>
  </w:abstractNum>
  <w:abstractNum w:abstractNumId="4" w15:restartNumberingAfterBreak="0">
    <w:nsid w:val="7BF948F0"/>
    <w:multiLevelType w:val="hybridMultilevel"/>
    <w:tmpl w:val="AB0437E2"/>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240A000F">
      <w:start w:val="1"/>
      <w:numFmt w:val="decimal"/>
      <w:lvlText w:val="%2."/>
      <w:lvlJc w:val="left"/>
      <w:pPr>
        <w:ind w:left="900" w:hanging="348"/>
      </w:pPr>
      <w:rPr>
        <w:rFonts w:hint="default"/>
        <w:w w:val="100"/>
        <w:sz w:val="22"/>
        <w:szCs w:val="22"/>
        <w:lang w:val="es-ES" w:eastAsia="en-US" w:bidi="ar-SA"/>
      </w:rPr>
    </w:lvl>
    <w:lvl w:ilvl="2" w:tplc="19960184">
      <w:numFmt w:val="bullet"/>
      <w:lvlText w:val="•"/>
      <w:lvlJc w:val="left"/>
      <w:pPr>
        <w:ind w:left="2442" w:hanging="348"/>
      </w:pPr>
      <w:rPr>
        <w:rFonts w:hint="default"/>
        <w:lang w:val="es-ES" w:eastAsia="en-US" w:bidi="ar-SA"/>
      </w:rPr>
    </w:lvl>
    <w:lvl w:ilvl="3" w:tplc="65BC7268">
      <w:numFmt w:val="bullet"/>
      <w:lvlText w:val="•"/>
      <w:lvlJc w:val="left"/>
      <w:pPr>
        <w:ind w:left="3984" w:hanging="348"/>
      </w:pPr>
      <w:rPr>
        <w:rFonts w:hint="default"/>
        <w:lang w:val="es-ES" w:eastAsia="en-US" w:bidi="ar-SA"/>
      </w:rPr>
    </w:lvl>
    <w:lvl w:ilvl="4" w:tplc="7C125484">
      <w:numFmt w:val="bullet"/>
      <w:lvlText w:val="•"/>
      <w:lvlJc w:val="left"/>
      <w:pPr>
        <w:ind w:left="5526" w:hanging="348"/>
      </w:pPr>
      <w:rPr>
        <w:rFonts w:hint="default"/>
        <w:lang w:val="es-ES" w:eastAsia="en-US" w:bidi="ar-SA"/>
      </w:rPr>
    </w:lvl>
    <w:lvl w:ilvl="5" w:tplc="D2B64D26">
      <w:numFmt w:val="bullet"/>
      <w:lvlText w:val="•"/>
      <w:lvlJc w:val="left"/>
      <w:pPr>
        <w:ind w:left="7068" w:hanging="348"/>
      </w:pPr>
      <w:rPr>
        <w:rFonts w:hint="default"/>
        <w:lang w:val="es-ES" w:eastAsia="en-US" w:bidi="ar-SA"/>
      </w:rPr>
    </w:lvl>
    <w:lvl w:ilvl="6" w:tplc="2618C46C">
      <w:numFmt w:val="bullet"/>
      <w:lvlText w:val="•"/>
      <w:lvlJc w:val="left"/>
      <w:pPr>
        <w:ind w:left="8611" w:hanging="348"/>
      </w:pPr>
      <w:rPr>
        <w:rFonts w:hint="default"/>
        <w:lang w:val="es-ES" w:eastAsia="en-US" w:bidi="ar-SA"/>
      </w:rPr>
    </w:lvl>
    <w:lvl w:ilvl="7" w:tplc="10D069A8">
      <w:numFmt w:val="bullet"/>
      <w:lvlText w:val="•"/>
      <w:lvlJc w:val="left"/>
      <w:pPr>
        <w:ind w:left="10153" w:hanging="348"/>
      </w:pPr>
      <w:rPr>
        <w:rFonts w:hint="default"/>
        <w:lang w:val="es-ES" w:eastAsia="en-US" w:bidi="ar-SA"/>
      </w:rPr>
    </w:lvl>
    <w:lvl w:ilvl="8" w:tplc="BE5C43A0">
      <w:numFmt w:val="bullet"/>
      <w:lvlText w:val="•"/>
      <w:lvlJc w:val="left"/>
      <w:pPr>
        <w:ind w:left="11695" w:hanging="348"/>
      </w:pPr>
      <w:rPr>
        <w:rFonts w:hint="default"/>
        <w:lang w:val="es-ES" w:eastAsia="en-US" w:bidi="ar-SA"/>
      </w:rPr>
    </w:lvl>
  </w:abstractNum>
  <w:num w:numId="1" w16cid:durableId="527259068">
    <w:abstractNumId w:val="0"/>
  </w:num>
  <w:num w:numId="2" w16cid:durableId="336157701">
    <w:abstractNumId w:val="3"/>
  </w:num>
  <w:num w:numId="3" w16cid:durableId="1552309669">
    <w:abstractNumId w:val="1"/>
  </w:num>
  <w:num w:numId="4" w16cid:durableId="1229999833">
    <w:abstractNumId w:val="4"/>
  </w:num>
  <w:num w:numId="5" w16cid:durableId="1373463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C4"/>
    <w:rsid w:val="00112873"/>
    <w:rsid w:val="00134869"/>
    <w:rsid w:val="001C76AC"/>
    <w:rsid w:val="00235687"/>
    <w:rsid w:val="003D261E"/>
    <w:rsid w:val="00407589"/>
    <w:rsid w:val="004537F0"/>
    <w:rsid w:val="0053457A"/>
    <w:rsid w:val="005F69EB"/>
    <w:rsid w:val="00AD38EB"/>
    <w:rsid w:val="00C45CBB"/>
    <w:rsid w:val="00E024C4"/>
    <w:rsid w:val="00E02E25"/>
    <w:rsid w:val="00EB41EE"/>
    <w:rsid w:val="00ED1D74"/>
    <w:rsid w:val="00EE3567"/>
    <w:rsid w:val="00FF3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E5E5"/>
  <w15:chartTrackingRefBased/>
  <w15:docId w15:val="{3D0CAD17-DC02-4881-86B3-289D0B61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024C4"/>
    <w:pPr>
      <w:ind w:left="720"/>
      <w:contextualSpacing/>
    </w:pPr>
  </w:style>
  <w:style w:type="character" w:styleId="Hipervnculo">
    <w:name w:val="Hyperlink"/>
    <w:basedOn w:val="Fuentedeprrafopredeter"/>
    <w:uiPriority w:val="99"/>
    <w:unhideWhenUsed/>
    <w:rsid w:val="00E024C4"/>
    <w:rPr>
      <w:color w:val="0563C1" w:themeColor="hyperlink"/>
      <w:u w:val="single"/>
    </w:rPr>
  </w:style>
  <w:style w:type="character" w:styleId="Mencinsinresolver">
    <w:name w:val="Unresolved Mention"/>
    <w:basedOn w:val="Fuentedeprrafopredeter"/>
    <w:uiPriority w:val="99"/>
    <w:semiHidden/>
    <w:unhideWhenUsed/>
    <w:rsid w:val="00E0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persolida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Vanessa Lopez Rondon</dc:creator>
  <cp:keywords/>
  <dc:description/>
  <cp:lastModifiedBy>Beatriz Leonela Lizcano Castro</cp:lastModifiedBy>
  <cp:revision>8</cp:revision>
  <dcterms:created xsi:type="dcterms:W3CDTF">2025-02-15T00:05:00Z</dcterms:created>
  <dcterms:modified xsi:type="dcterms:W3CDTF">2025-02-19T17:45:00Z</dcterms:modified>
</cp:coreProperties>
</file>