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9B748E" w14:textId="77777777" w:rsidR="003E4DD2" w:rsidRDefault="009E07EE">
      <w:pPr>
        <w:spacing w:after="160" w:line="259" w:lineRule="auto"/>
        <w:jc w:val="both"/>
        <w:rPr>
          <w:rFonts w:ascii="Verdana" w:eastAsia="Verdana" w:hAnsi="Verdana" w:cs="Verdana"/>
          <w:i w:val="0"/>
          <w:sz w:val="22"/>
          <w:szCs w:val="22"/>
        </w:rPr>
      </w:pPr>
      <w:bookmarkStart w:id="0" w:name="_heading=h.4cqm0no2o9a3" w:colFirst="0" w:colLast="0"/>
      <w:bookmarkEnd w:id="0"/>
      <w:r>
        <w:rPr>
          <w:rFonts w:ascii="Verdana" w:eastAsia="Verdana" w:hAnsi="Verdana" w:cs="Verdana"/>
          <w:i w:val="0"/>
          <w:sz w:val="22"/>
          <w:szCs w:val="22"/>
        </w:rPr>
        <w:t>La presente propuesta se sustenta en el Anexo Técnico que forma parte integral de esta Circular y se relaciona con la percepción reiterada de las organizaciones solidarias vigiladas frente a la cantidad de formatos exigidos en el marco del reporte de información financiera, los cuales han sido señalados como una carga operativa significativa. Esta situación se ve acentuada por la frecuencia de presentación establecida, especialmente en el caso de entidades de menor tamaño, complejidad operativa y limitada capacidad técnica.</w:t>
      </w:r>
    </w:p>
    <w:p w14:paraId="5FD34B1E" w14:textId="77777777" w:rsidR="003E4DD2" w:rsidRDefault="009E07EE">
      <w:pPr>
        <w:spacing w:before="240" w:after="240"/>
        <w:jc w:val="both"/>
        <w:rPr>
          <w:rFonts w:ascii="Verdana" w:eastAsia="Verdana" w:hAnsi="Verdana" w:cs="Verdana"/>
          <w:i w:val="0"/>
          <w:sz w:val="22"/>
          <w:szCs w:val="22"/>
        </w:rPr>
      </w:pPr>
      <w:r>
        <w:rPr>
          <w:rFonts w:ascii="Verdana" w:eastAsia="Verdana" w:hAnsi="Verdana" w:cs="Verdana"/>
          <w:i w:val="0"/>
          <w:sz w:val="22"/>
          <w:szCs w:val="22"/>
        </w:rPr>
        <w:t>En consonancia con ello, la Superintendencia de la Economía Solidaria ha identificado esta problemática a través de sus estrategias de supervisión preventiva y procesos de acompañamiento institucional. De manera complementaria, se ha evidenciado una falta de precisión en la comunicación institucional respecto a que las organizaciones solidarias únicamente deben diligenciar los formatos aplicables según su naturaleza jurídica, objeto social y actividad económica, lo cual ha generado interpretaciones erróneas y un cumplimiento sobredimensionado de las obligaciones reportadas.</w:t>
      </w:r>
    </w:p>
    <w:p w14:paraId="47F5AE71" w14:textId="77777777" w:rsidR="003E4DD2" w:rsidRDefault="009E07EE">
      <w:pPr>
        <w:spacing w:before="240" w:after="240"/>
        <w:jc w:val="both"/>
        <w:rPr>
          <w:rFonts w:ascii="Verdana" w:eastAsia="Verdana" w:hAnsi="Verdana" w:cs="Verdana"/>
          <w:i w:val="0"/>
          <w:sz w:val="22"/>
          <w:szCs w:val="22"/>
        </w:rPr>
      </w:pPr>
      <w:r>
        <w:rPr>
          <w:rFonts w:ascii="Verdana" w:eastAsia="Verdana" w:hAnsi="Verdana" w:cs="Verdana"/>
          <w:i w:val="0"/>
          <w:sz w:val="22"/>
          <w:szCs w:val="22"/>
        </w:rPr>
        <w:t xml:space="preserve">Esta situación ha conllevado a una duplicación innecesaria de esfuerzos, tanto para las entidades vigiladas —que destinan recursos humanos y técnicos al diligenciamiento de formatos no pertinentes— como para la propia </w:t>
      </w:r>
      <w:r>
        <w:rPr>
          <w:rFonts w:ascii="Verdana" w:eastAsia="Verdana" w:hAnsi="Verdana" w:cs="Verdana"/>
          <w:i w:val="0"/>
          <w:sz w:val="22"/>
          <w:szCs w:val="22"/>
        </w:rPr>
        <w:lastRenderedPageBreak/>
        <w:t>Superintendencia, que recibe información cuya relevancia para la supervisión no siempre está justificada. En este contexto, se hace necesario avanzar hacia una estrategia institucional que combine:</w:t>
      </w:r>
    </w:p>
    <w:p w14:paraId="3731F826" w14:textId="77777777" w:rsidR="003E4DD2" w:rsidRDefault="009E07EE">
      <w:pPr>
        <w:numPr>
          <w:ilvl w:val="0"/>
          <w:numId w:val="1"/>
        </w:numPr>
        <w:spacing w:before="240"/>
        <w:jc w:val="both"/>
        <w:rPr>
          <w:rFonts w:ascii="Verdana" w:eastAsia="Verdana" w:hAnsi="Verdana" w:cs="Verdana"/>
          <w:i w:val="0"/>
          <w:sz w:val="22"/>
          <w:szCs w:val="22"/>
        </w:rPr>
      </w:pPr>
      <w:r>
        <w:rPr>
          <w:rFonts w:ascii="Verdana" w:eastAsia="Verdana" w:hAnsi="Verdana" w:cs="Verdana"/>
          <w:i w:val="0"/>
          <w:sz w:val="22"/>
          <w:szCs w:val="22"/>
        </w:rPr>
        <w:t>La simplificación del conjunto de formatos exigidos,</w:t>
      </w:r>
    </w:p>
    <w:p w14:paraId="13098E24" w14:textId="77777777" w:rsidR="003E4DD2" w:rsidRDefault="009E07EE">
      <w:pPr>
        <w:numPr>
          <w:ilvl w:val="0"/>
          <w:numId w:val="1"/>
        </w:numPr>
        <w:jc w:val="both"/>
        <w:rPr>
          <w:rFonts w:ascii="Verdana" w:eastAsia="Verdana" w:hAnsi="Verdana" w:cs="Verdana"/>
          <w:i w:val="0"/>
          <w:sz w:val="22"/>
          <w:szCs w:val="22"/>
        </w:rPr>
      </w:pPr>
      <w:r>
        <w:rPr>
          <w:rFonts w:ascii="Verdana" w:eastAsia="Verdana" w:hAnsi="Verdana" w:cs="Verdana"/>
          <w:i w:val="0"/>
          <w:sz w:val="22"/>
          <w:szCs w:val="22"/>
        </w:rPr>
        <w:t>Una mejor orientación a las organizaciones sobre sus obligaciones reales, y</w:t>
      </w:r>
    </w:p>
    <w:p w14:paraId="709EC7BA" w14:textId="77777777" w:rsidR="003E4DD2" w:rsidRDefault="009E07EE">
      <w:pPr>
        <w:numPr>
          <w:ilvl w:val="0"/>
          <w:numId w:val="1"/>
        </w:numPr>
        <w:spacing w:after="240"/>
        <w:jc w:val="both"/>
        <w:rPr>
          <w:rFonts w:ascii="Verdana" w:eastAsia="Verdana" w:hAnsi="Verdana" w:cs="Verdana"/>
          <w:i w:val="0"/>
          <w:sz w:val="22"/>
          <w:szCs w:val="22"/>
        </w:rPr>
      </w:pPr>
      <w:r>
        <w:rPr>
          <w:rFonts w:ascii="Verdana" w:eastAsia="Verdana" w:hAnsi="Verdana" w:cs="Verdana"/>
          <w:i w:val="0"/>
          <w:sz w:val="22"/>
          <w:szCs w:val="22"/>
        </w:rPr>
        <w:t>La implementación de un enfoque proporcional y diferenciado en el ejercicio de la supervisión.</w:t>
      </w:r>
    </w:p>
    <w:p w14:paraId="166123CF" w14:textId="77777777" w:rsidR="003E4DD2" w:rsidRDefault="009E07EE">
      <w:pPr>
        <w:spacing w:before="240" w:after="240"/>
        <w:jc w:val="both"/>
        <w:rPr>
          <w:rFonts w:ascii="Verdana" w:eastAsia="Verdana" w:hAnsi="Verdana" w:cs="Verdana"/>
          <w:i w:val="0"/>
          <w:sz w:val="22"/>
          <w:szCs w:val="22"/>
        </w:rPr>
      </w:pPr>
      <w:r>
        <w:rPr>
          <w:rFonts w:ascii="Verdana" w:eastAsia="Verdana" w:hAnsi="Verdana" w:cs="Verdana"/>
          <w:i w:val="0"/>
          <w:sz w:val="22"/>
          <w:szCs w:val="22"/>
        </w:rPr>
        <w:t>De acuerdo con el numeral 6.2.2 del Capítulo I del Título II de la Circular Básica Contable y Financiera, actualmente las organizaciones solidarias del tercer nivel de supervisión están sujetas al cumplimiento de hasta 53 reportes de información financiera, según corresponda a su actividad. Estos reportes se distribuyen así:</w:t>
      </w:r>
    </w:p>
    <w:p w14:paraId="27A76BC8" w14:textId="77777777" w:rsidR="003E4DD2" w:rsidRDefault="009E07EE">
      <w:pPr>
        <w:numPr>
          <w:ilvl w:val="0"/>
          <w:numId w:val="2"/>
        </w:numPr>
        <w:spacing w:before="240"/>
        <w:rPr>
          <w:rFonts w:ascii="Verdana" w:eastAsia="Verdana" w:hAnsi="Verdana" w:cs="Verdana"/>
          <w:i w:val="0"/>
          <w:sz w:val="22"/>
          <w:szCs w:val="22"/>
        </w:rPr>
      </w:pPr>
      <w:r>
        <w:rPr>
          <w:rFonts w:ascii="Verdana" w:eastAsia="Verdana" w:hAnsi="Verdana" w:cs="Verdana"/>
          <w:i w:val="0"/>
          <w:sz w:val="22"/>
          <w:szCs w:val="22"/>
        </w:rPr>
        <w:t>16 reportes de presentación anual</w:t>
      </w:r>
    </w:p>
    <w:p w14:paraId="5CDE983E" w14:textId="77777777" w:rsidR="003E4DD2" w:rsidRDefault="009E07EE">
      <w:pPr>
        <w:numPr>
          <w:ilvl w:val="0"/>
          <w:numId w:val="2"/>
        </w:numPr>
        <w:rPr>
          <w:rFonts w:ascii="Verdana" w:eastAsia="Verdana" w:hAnsi="Verdana" w:cs="Verdana"/>
          <w:i w:val="0"/>
          <w:sz w:val="22"/>
          <w:szCs w:val="22"/>
        </w:rPr>
      </w:pPr>
      <w:r>
        <w:rPr>
          <w:rFonts w:ascii="Verdana" w:eastAsia="Verdana" w:hAnsi="Verdana" w:cs="Verdana"/>
          <w:i w:val="0"/>
          <w:sz w:val="22"/>
          <w:szCs w:val="22"/>
        </w:rPr>
        <w:t>27 reportes de presentación semestral</w:t>
      </w:r>
    </w:p>
    <w:p w14:paraId="62837264" w14:textId="77777777" w:rsidR="003E4DD2" w:rsidRDefault="009E07EE">
      <w:pPr>
        <w:numPr>
          <w:ilvl w:val="0"/>
          <w:numId w:val="2"/>
        </w:numPr>
        <w:rPr>
          <w:rFonts w:ascii="Verdana" w:eastAsia="Verdana" w:hAnsi="Verdana" w:cs="Verdana"/>
          <w:i w:val="0"/>
          <w:sz w:val="22"/>
          <w:szCs w:val="22"/>
        </w:rPr>
      </w:pPr>
      <w:r>
        <w:rPr>
          <w:rFonts w:ascii="Verdana" w:eastAsia="Verdana" w:hAnsi="Verdana" w:cs="Verdana"/>
          <w:i w:val="0"/>
          <w:sz w:val="22"/>
          <w:szCs w:val="22"/>
        </w:rPr>
        <w:t>4 reportes trimestrales</w:t>
      </w:r>
    </w:p>
    <w:p w14:paraId="67C8476F" w14:textId="77777777" w:rsidR="003E4DD2" w:rsidRDefault="009E07EE">
      <w:pPr>
        <w:numPr>
          <w:ilvl w:val="0"/>
          <w:numId w:val="2"/>
        </w:numPr>
        <w:rPr>
          <w:rFonts w:ascii="Verdana" w:eastAsia="Verdana" w:hAnsi="Verdana" w:cs="Verdana"/>
          <w:i w:val="0"/>
          <w:sz w:val="22"/>
          <w:szCs w:val="22"/>
        </w:rPr>
      </w:pPr>
      <w:r>
        <w:rPr>
          <w:rFonts w:ascii="Verdana" w:eastAsia="Verdana" w:hAnsi="Verdana" w:cs="Verdana"/>
          <w:i w:val="0"/>
          <w:sz w:val="22"/>
          <w:szCs w:val="22"/>
        </w:rPr>
        <w:t>2 reportes mensuales</w:t>
      </w:r>
    </w:p>
    <w:p w14:paraId="096956C1" w14:textId="77777777" w:rsidR="003E4DD2" w:rsidRDefault="009E07EE">
      <w:pPr>
        <w:numPr>
          <w:ilvl w:val="0"/>
          <w:numId w:val="2"/>
        </w:numPr>
        <w:rPr>
          <w:rFonts w:ascii="Verdana" w:eastAsia="Verdana" w:hAnsi="Verdana" w:cs="Verdana"/>
          <w:i w:val="0"/>
          <w:sz w:val="22"/>
          <w:szCs w:val="22"/>
        </w:rPr>
      </w:pPr>
      <w:r>
        <w:rPr>
          <w:rFonts w:ascii="Verdana" w:eastAsia="Verdana" w:hAnsi="Verdana" w:cs="Verdana"/>
          <w:i w:val="0"/>
          <w:sz w:val="22"/>
          <w:szCs w:val="22"/>
        </w:rPr>
        <w:t>3 reportes semanales</w:t>
      </w:r>
    </w:p>
    <w:p w14:paraId="2931CD08" w14:textId="77777777" w:rsidR="003E4DD2" w:rsidRDefault="009E07EE">
      <w:pPr>
        <w:numPr>
          <w:ilvl w:val="0"/>
          <w:numId w:val="2"/>
        </w:numPr>
        <w:spacing w:after="240"/>
        <w:rPr>
          <w:rFonts w:ascii="Verdana" w:eastAsia="Verdana" w:hAnsi="Verdana" w:cs="Verdana"/>
          <w:i w:val="0"/>
          <w:sz w:val="22"/>
          <w:szCs w:val="22"/>
        </w:rPr>
      </w:pPr>
      <w:r>
        <w:rPr>
          <w:rFonts w:ascii="Verdana" w:eastAsia="Verdana" w:hAnsi="Verdana" w:cs="Verdana"/>
          <w:i w:val="0"/>
          <w:sz w:val="22"/>
          <w:szCs w:val="22"/>
        </w:rPr>
        <w:t>1 reporte diario</w:t>
      </w:r>
    </w:p>
    <w:p w14:paraId="7693781B" w14:textId="77777777" w:rsidR="003E4DD2" w:rsidRDefault="009E07EE">
      <w:pPr>
        <w:spacing w:before="240" w:after="240"/>
        <w:jc w:val="both"/>
        <w:rPr>
          <w:rFonts w:ascii="Verdana" w:eastAsia="Verdana" w:hAnsi="Verdana" w:cs="Verdana"/>
          <w:i w:val="0"/>
          <w:sz w:val="22"/>
          <w:szCs w:val="22"/>
        </w:rPr>
      </w:pPr>
      <w:r>
        <w:rPr>
          <w:rFonts w:ascii="Verdana" w:eastAsia="Verdana" w:hAnsi="Verdana" w:cs="Verdana"/>
          <w:i w:val="0"/>
          <w:sz w:val="22"/>
          <w:szCs w:val="22"/>
        </w:rPr>
        <w:t>En consecuencia, al considerar únicamente los reportes anuales y semestrales —que constituyen el núcleo del proceso de supervisión financiera— las entidades deben diligenciar 43 reportes en el corte anual. Esta carga operativa resulta especialmente exigente para aquellas organizaciones que enfrentan limitaciones en infraestructura tecnológica, capacidad administrativa y disponibilidad de personal capacitado.</w:t>
      </w:r>
    </w:p>
    <w:p w14:paraId="12739999" w14:textId="77777777" w:rsidR="003E4DD2" w:rsidRDefault="009E07EE">
      <w:pPr>
        <w:spacing w:before="240" w:after="240"/>
        <w:jc w:val="both"/>
        <w:rPr>
          <w:rFonts w:ascii="Verdana" w:eastAsia="Verdana" w:hAnsi="Verdana" w:cs="Verdana"/>
          <w:i w:val="0"/>
          <w:sz w:val="22"/>
          <w:szCs w:val="22"/>
        </w:rPr>
      </w:pPr>
      <w:r>
        <w:rPr>
          <w:rFonts w:ascii="Verdana" w:eastAsia="Verdana" w:hAnsi="Verdana" w:cs="Verdana"/>
          <w:i w:val="0"/>
          <w:sz w:val="22"/>
          <w:szCs w:val="22"/>
        </w:rPr>
        <w:t xml:space="preserve">Considerando que muchas de estas entidades del nivel 3 operan en contextos territoriales complejos y con restricciones estructurales, y con el objetivo de facilitar el cumplimiento de las obligaciones de reporte, se ha considerado pertinente proponer, como medida complementaria, la simplificación del Formulario Oficial de Rendición de Cuentas, mediante la identificación y </w:t>
      </w:r>
      <w:r>
        <w:rPr>
          <w:rFonts w:ascii="Verdana" w:eastAsia="Verdana" w:hAnsi="Verdana" w:cs="Verdana"/>
          <w:i w:val="0"/>
          <w:sz w:val="22"/>
          <w:szCs w:val="22"/>
        </w:rPr>
        <w:lastRenderedPageBreak/>
        <w:t>diferenciación clara de los formatos de reporte obligatorio frente a aquellos condicionados a la actividad económica y características propias de la entidad.</w:t>
      </w:r>
    </w:p>
    <w:p w14:paraId="77D84ABC" w14:textId="77777777" w:rsidR="003E4DD2" w:rsidRDefault="009E07EE">
      <w:pPr>
        <w:pStyle w:val="Ttulo3"/>
        <w:keepNext w:val="0"/>
        <w:spacing w:before="280" w:after="80"/>
        <w:jc w:val="both"/>
        <w:rPr>
          <w:rFonts w:ascii="Verdana" w:eastAsia="Verdana" w:hAnsi="Verdana" w:cs="Verdana"/>
        </w:rPr>
      </w:pPr>
      <w:bookmarkStart w:id="1" w:name="_heading=h.fgge0veoglx" w:colFirst="0" w:colLast="0"/>
      <w:bookmarkEnd w:id="1"/>
      <w:r>
        <w:rPr>
          <w:rFonts w:ascii="Verdana" w:eastAsia="Verdana" w:hAnsi="Verdana" w:cs="Verdana"/>
        </w:rPr>
        <w:t>Aplicación del enfoque diferencial</w:t>
      </w:r>
    </w:p>
    <w:p w14:paraId="3FB80B6D" w14:textId="77777777" w:rsidR="003E4DD2" w:rsidRDefault="009E07EE">
      <w:pPr>
        <w:spacing w:before="240" w:after="240"/>
        <w:jc w:val="both"/>
        <w:rPr>
          <w:rFonts w:ascii="Verdana" w:eastAsia="Verdana" w:hAnsi="Verdana" w:cs="Verdana"/>
          <w:i w:val="0"/>
          <w:sz w:val="22"/>
          <w:szCs w:val="22"/>
        </w:rPr>
      </w:pPr>
      <w:r>
        <w:rPr>
          <w:rFonts w:ascii="Verdana" w:eastAsia="Verdana" w:hAnsi="Verdana" w:cs="Verdana"/>
          <w:i w:val="0"/>
          <w:sz w:val="22"/>
          <w:szCs w:val="22"/>
        </w:rPr>
        <w:t>Cabe destacar que esta propuesta se aplicará exclusivamente a las organizaciones solidarias que cumplan simultáneamente con un conjunto de condiciones territoriales y financieras, con el fin de garantizar un tratamiento justo, proporcionado y focalizado, en coherencia con las directrices del enfoque diferencial promovido por el Consejo de Política Económica y Social – CONPES.</w:t>
      </w:r>
    </w:p>
    <w:p w14:paraId="129B3BA1" w14:textId="77777777" w:rsidR="003E4DD2" w:rsidRDefault="009E07EE">
      <w:pPr>
        <w:pStyle w:val="Ttulo4"/>
        <w:keepNext w:val="0"/>
        <w:spacing w:before="240" w:after="40"/>
        <w:rPr>
          <w:rFonts w:ascii="Verdana" w:eastAsia="Verdana" w:hAnsi="Verdana" w:cs="Verdana"/>
          <w:sz w:val="22"/>
          <w:szCs w:val="22"/>
        </w:rPr>
      </w:pPr>
      <w:bookmarkStart w:id="2" w:name="_heading=h.uyi4szunumv7" w:colFirst="0" w:colLast="0"/>
      <w:bookmarkEnd w:id="2"/>
      <w:r>
        <w:rPr>
          <w:rFonts w:ascii="Verdana" w:eastAsia="Verdana" w:hAnsi="Verdana" w:cs="Verdana"/>
          <w:sz w:val="22"/>
          <w:szCs w:val="22"/>
        </w:rPr>
        <w:t>Criterios de aplicación:</w:t>
      </w:r>
    </w:p>
    <w:p w14:paraId="684B3999" w14:textId="77777777" w:rsidR="003E4DD2" w:rsidRDefault="009E07EE">
      <w:pPr>
        <w:spacing w:before="240" w:after="240"/>
        <w:jc w:val="both"/>
        <w:rPr>
          <w:rFonts w:ascii="Verdana" w:eastAsia="Verdana" w:hAnsi="Verdana" w:cs="Verdana"/>
          <w:b/>
          <w:i w:val="0"/>
          <w:sz w:val="22"/>
          <w:szCs w:val="22"/>
        </w:rPr>
      </w:pPr>
      <w:r>
        <w:rPr>
          <w:rFonts w:ascii="Verdana" w:eastAsia="Verdana" w:hAnsi="Verdana" w:cs="Verdana"/>
          <w:b/>
          <w:i w:val="0"/>
          <w:sz w:val="22"/>
          <w:szCs w:val="22"/>
        </w:rPr>
        <w:t>1. Condiciones territoriales (debe cumplirse al menos uno):</w:t>
      </w:r>
    </w:p>
    <w:p w14:paraId="28ED7F92" w14:textId="77777777" w:rsidR="003E4DD2" w:rsidRDefault="009E07EE">
      <w:pPr>
        <w:numPr>
          <w:ilvl w:val="0"/>
          <w:numId w:val="4"/>
        </w:numPr>
        <w:spacing w:before="240"/>
        <w:jc w:val="both"/>
        <w:rPr>
          <w:rFonts w:ascii="Verdana" w:eastAsia="Verdana" w:hAnsi="Verdana" w:cs="Verdana"/>
          <w:i w:val="0"/>
          <w:sz w:val="22"/>
          <w:szCs w:val="22"/>
        </w:rPr>
      </w:pPr>
      <w:r>
        <w:rPr>
          <w:rFonts w:ascii="Verdana" w:eastAsia="Verdana" w:hAnsi="Verdana" w:cs="Verdana"/>
          <w:i w:val="0"/>
          <w:sz w:val="22"/>
          <w:szCs w:val="22"/>
        </w:rPr>
        <w:t>Ser una empresa solidaria rural o del sector agropecuario.</w:t>
      </w:r>
    </w:p>
    <w:p w14:paraId="3A43C77A" w14:textId="77777777" w:rsidR="003E4DD2" w:rsidRDefault="009E07EE">
      <w:pPr>
        <w:numPr>
          <w:ilvl w:val="0"/>
          <w:numId w:val="4"/>
        </w:numPr>
        <w:jc w:val="both"/>
        <w:rPr>
          <w:rFonts w:ascii="Verdana" w:eastAsia="Verdana" w:hAnsi="Verdana" w:cs="Verdana"/>
          <w:i w:val="0"/>
          <w:sz w:val="22"/>
          <w:szCs w:val="22"/>
        </w:rPr>
      </w:pPr>
      <w:r>
        <w:rPr>
          <w:rFonts w:ascii="Verdana" w:eastAsia="Verdana" w:hAnsi="Verdana" w:cs="Verdana"/>
          <w:i w:val="0"/>
          <w:sz w:val="22"/>
          <w:szCs w:val="22"/>
        </w:rPr>
        <w:t>Ser una empresa solidaria conformada por firmantes de paz.</w:t>
      </w:r>
    </w:p>
    <w:p w14:paraId="55485914" w14:textId="77777777" w:rsidR="003E4DD2" w:rsidRDefault="009E07EE">
      <w:pPr>
        <w:numPr>
          <w:ilvl w:val="0"/>
          <w:numId w:val="4"/>
        </w:numPr>
        <w:jc w:val="both"/>
        <w:rPr>
          <w:rFonts w:ascii="Verdana" w:eastAsia="Verdana" w:hAnsi="Verdana" w:cs="Verdana"/>
          <w:i w:val="0"/>
          <w:sz w:val="22"/>
          <w:szCs w:val="22"/>
        </w:rPr>
      </w:pPr>
      <w:r>
        <w:rPr>
          <w:rFonts w:ascii="Verdana" w:eastAsia="Verdana" w:hAnsi="Verdana" w:cs="Verdana"/>
          <w:i w:val="0"/>
          <w:sz w:val="22"/>
          <w:szCs w:val="22"/>
        </w:rPr>
        <w:t>Estar ubicada en un municipio PDET (Programa de Desarrollo con Enfoque Territorial).</w:t>
      </w:r>
    </w:p>
    <w:p w14:paraId="538E323A" w14:textId="77777777" w:rsidR="003E4DD2" w:rsidRDefault="009E07EE">
      <w:pPr>
        <w:numPr>
          <w:ilvl w:val="0"/>
          <w:numId w:val="4"/>
        </w:numPr>
        <w:spacing w:after="240"/>
        <w:jc w:val="both"/>
        <w:rPr>
          <w:rFonts w:ascii="Verdana" w:eastAsia="Verdana" w:hAnsi="Verdana" w:cs="Verdana"/>
          <w:i w:val="0"/>
          <w:sz w:val="22"/>
          <w:szCs w:val="22"/>
        </w:rPr>
      </w:pPr>
      <w:r>
        <w:rPr>
          <w:rFonts w:ascii="Verdana" w:eastAsia="Verdana" w:hAnsi="Verdana" w:cs="Verdana"/>
          <w:i w:val="0"/>
          <w:sz w:val="22"/>
          <w:szCs w:val="22"/>
        </w:rPr>
        <w:t>Estar ubicada en una zona ZOMAC (Zonas Más Afectadas por el Conflicto Armado).</w:t>
      </w:r>
    </w:p>
    <w:p w14:paraId="1129AC5F" w14:textId="77777777" w:rsidR="003E4DD2" w:rsidRDefault="009E07EE">
      <w:pPr>
        <w:spacing w:before="240" w:after="240"/>
        <w:jc w:val="both"/>
        <w:rPr>
          <w:rFonts w:ascii="Verdana" w:eastAsia="Verdana" w:hAnsi="Verdana" w:cs="Verdana"/>
          <w:b/>
          <w:i w:val="0"/>
          <w:sz w:val="22"/>
          <w:szCs w:val="22"/>
        </w:rPr>
      </w:pPr>
      <w:r>
        <w:rPr>
          <w:rFonts w:ascii="Verdana" w:eastAsia="Verdana" w:hAnsi="Verdana" w:cs="Verdana"/>
          <w:b/>
          <w:i w:val="0"/>
          <w:sz w:val="22"/>
          <w:szCs w:val="22"/>
        </w:rPr>
        <w:t>2. Condiciones financieras (deben cumplirse ambas):</w:t>
      </w:r>
    </w:p>
    <w:p w14:paraId="06C66F10" w14:textId="77777777" w:rsidR="003E4DD2" w:rsidRDefault="009E07EE">
      <w:pPr>
        <w:numPr>
          <w:ilvl w:val="0"/>
          <w:numId w:val="3"/>
        </w:numPr>
        <w:spacing w:before="240"/>
        <w:rPr>
          <w:rFonts w:ascii="Verdana" w:eastAsia="Verdana" w:hAnsi="Verdana" w:cs="Verdana"/>
          <w:i w:val="0"/>
          <w:sz w:val="22"/>
          <w:szCs w:val="22"/>
        </w:rPr>
      </w:pPr>
      <w:r>
        <w:rPr>
          <w:rFonts w:ascii="Verdana" w:eastAsia="Verdana" w:hAnsi="Verdana" w:cs="Verdana"/>
          <w:i w:val="0"/>
          <w:sz w:val="22"/>
          <w:szCs w:val="22"/>
        </w:rPr>
        <w:t>Registrar ingresos totales iguales o inferiores a $6.000.000.000 (seis mil millones de pesos).</w:t>
      </w:r>
    </w:p>
    <w:p w14:paraId="059F7549" w14:textId="478C09D9" w:rsidR="003E4DD2" w:rsidRPr="00B35589" w:rsidRDefault="009E07EE" w:rsidP="002E4015">
      <w:pPr>
        <w:numPr>
          <w:ilvl w:val="0"/>
          <w:numId w:val="3"/>
        </w:numPr>
        <w:spacing w:after="240"/>
        <w:rPr>
          <w:rFonts w:ascii="Verdana" w:eastAsia="Verdana" w:hAnsi="Verdana" w:cs="Verdana"/>
          <w:i w:val="0"/>
          <w:sz w:val="22"/>
          <w:szCs w:val="22"/>
        </w:rPr>
      </w:pPr>
      <w:r>
        <w:rPr>
          <w:rFonts w:ascii="Verdana" w:eastAsia="Verdana" w:hAnsi="Verdana" w:cs="Verdana"/>
          <w:i w:val="0"/>
          <w:sz w:val="22"/>
          <w:szCs w:val="22"/>
        </w:rPr>
        <w:t>Tener excedentes iguales o inferiores a $100.000.000 (cien millones de pesos).</w:t>
      </w:r>
    </w:p>
    <w:p w14:paraId="1DB417CE" w14:textId="1ED9E27A" w:rsidR="00180683" w:rsidRDefault="00180683">
      <w:pPr>
        <w:spacing w:before="240" w:after="240"/>
        <w:jc w:val="both"/>
        <w:rPr>
          <w:rFonts w:ascii="Verdana" w:eastAsia="Verdana" w:hAnsi="Verdana" w:cs="Verdana"/>
          <w:i w:val="0"/>
          <w:iCs/>
          <w:sz w:val="22"/>
          <w:szCs w:val="22"/>
        </w:rPr>
      </w:pPr>
      <w:r w:rsidRPr="00180683">
        <w:rPr>
          <w:rFonts w:ascii="Verdana" w:eastAsia="Verdana" w:hAnsi="Verdana" w:cs="Verdana"/>
          <w:i w:val="0"/>
          <w:iCs/>
          <w:sz w:val="22"/>
          <w:szCs w:val="22"/>
        </w:rPr>
        <w:t>Las organizaciones que cumplan con estos criterios (es decir, al menos una de las condiciones territoriales y ambas condiciones financieras) serán consideradas destinatarias del enfoque diferencial y podrán acogerse al modelo de reporte simplificado y focalizado que se establece mediante este proyecto de circular</w:t>
      </w:r>
      <w:r>
        <w:rPr>
          <w:rFonts w:ascii="Verdana" w:eastAsia="Verdana" w:hAnsi="Verdana" w:cs="Verdana"/>
          <w:i w:val="0"/>
          <w:iCs/>
          <w:sz w:val="22"/>
          <w:szCs w:val="22"/>
        </w:rPr>
        <w:t>.</w:t>
      </w:r>
    </w:p>
    <w:p w14:paraId="6AC9B0A7" w14:textId="7EB1C317" w:rsidR="002E4015" w:rsidRPr="003D4C57" w:rsidRDefault="002E4015">
      <w:pPr>
        <w:spacing w:before="240" w:after="240"/>
        <w:jc w:val="both"/>
        <w:rPr>
          <w:rFonts w:ascii="Verdana" w:eastAsia="Verdana" w:hAnsi="Verdana" w:cs="Verdana"/>
          <w:i w:val="0"/>
          <w:sz w:val="22"/>
          <w:szCs w:val="22"/>
        </w:rPr>
      </w:pPr>
      <w:r w:rsidRPr="003D4C57">
        <w:rPr>
          <w:rFonts w:ascii="Verdana" w:eastAsia="Verdana" w:hAnsi="Verdana" w:cs="Verdana"/>
          <w:i w:val="0"/>
          <w:sz w:val="22"/>
          <w:szCs w:val="22"/>
        </w:rPr>
        <w:lastRenderedPageBreak/>
        <w:t>Para la verificación del cumplimiento de la respectiva condición territorial y cuando la Superintendencia de Economía Solidaria no disponga de dicha información en el Sistema Integrado de Captura de Información</w:t>
      </w:r>
      <w:r w:rsidR="00BD64ED">
        <w:rPr>
          <w:rFonts w:ascii="Verdana" w:eastAsia="Verdana" w:hAnsi="Verdana" w:cs="Verdana"/>
          <w:i w:val="0"/>
          <w:sz w:val="22"/>
          <w:szCs w:val="22"/>
        </w:rPr>
        <w:t xml:space="preserve"> o el que haga sus veces</w:t>
      </w:r>
      <w:r w:rsidRPr="003D4C57">
        <w:rPr>
          <w:rFonts w:ascii="Verdana" w:eastAsia="Verdana" w:hAnsi="Verdana" w:cs="Verdana"/>
          <w:i w:val="0"/>
          <w:sz w:val="22"/>
          <w:szCs w:val="22"/>
        </w:rPr>
        <w:t xml:space="preserve">, promoverá el intercambio de información con las instituciones estatales competentes, que permitan determinar por </w:t>
      </w:r>
      <w:r w:rsidRPr="00B35589">
        <w:rPr>
          <w:rFonts w:ascii="Verdana" w:eastAsia="Verdana" w:hAnsi="Verdana" w:cs="Verdana"/>
          <w:i w:val="0"/>
          <w:sz w:val="22"/>
          <w:szCs w:val="22"/>
        </w:rPr>
        <w:t>la</w:t>
      </w:r>
      <w:r w:rsidRPr="003D4C57">
        <w:rPr>
          <w:rFonts w:ascii="Verdana" w:eastAsia="Verdana" w:hAnsi="Verdana" w:cs="Verdana"/>
          <w:i w:val="0"/>
          <w:sz w:val="22"/>
          <w:szCs w:val="22"/>
        </w:rPr>
        <w:t xml:space="preserve"> georreferenciación si una organización solidaria se encuentra ubicada en una zona rural, PDET o ZOMAC. De otra parte, para determinar si una organización solidaria forma parte del sector agropecuario, se verificará su actividad económica registrada en la respectiva Cámara de Comercio de acuerdo con el Código CIIU. En lo atinente a las organizaciones solidarias conformadas por firmantes de paz, </w:t>
      </w:r>
      <w:r w:rsidR="00BD64ED" w:rsidRPr="003D4C57">
        <w:rPr>
          <w:rFonts w:ascii="Verdana" w:eastAsia="Verdana" w:hAnsi="Verdana" w:cs="Verdana"/>
          <w:i w:val="0"/>
          <w:sz w:val="22"/>
          <w:szCs w:val="22"/>
        </w:rPr>
        <w:t>esta</w:t>
      </w:r>
      <w:r w:rsidRPr="003D4C57">
        <w:rPr>
          <w:rFonts w:ascii="Verdana" w:eastAsia="Verdana" w:hAnsi="Verdana" w:cs="Verdana"/>
          <w:i w:val="0"/>
          <w:sz w:val="22"/>
          <w:szCs w:val="22"/>
        </w:rPr>
        <w:t xml:space="preserve"> condición se verificará a través del respectivo acto de constitución. </w:t>
      </w:r>
    </w:p>
    <w:p w14:paraId="0496A28B" w14:textId="0AB9A933" w:rsidR="002E4015" w:rsidRPr="003D4C57" w:rsidRDefault="002E4015">
      <w:pPr>
        <w:spacing w:before="240" w:after="240"/>
        <w:jc w:val="both"/>
        <w:rPr>
          <w:rFonts w:ascii="Verdana" w:eastAsia="Verdana" w:hAnsi="Verdana" w:cs="Verdana"/>
          <w:iCs/>
          <w:sz w:val="22"/>
          <w:szCs w:val="22"/>
        </w:rPr>
      </w:pPr>
      <w:r w:rsidRPr="00B35589">
        <w:rPr>
          <w:rFonts w:ascii="Verdana" w:eastAsia="Verdana" w:hAnsi="Verdana" w:cs="Verdana"/>
          <w:i w:val="0"/>
          <w:sz w:val="22"/>
          <w:szCs w:val="22"/>
        </w:rPr>
        <w:t xml:space="preserve">La Superintendencia de Economía Solidaria </w:t>
      </w:r>
      <w:r w:rsidRPr="003D4C57">
        <w:rPr>
          <w:rFonts w:ascii="Verdana" w:eastAsia="Verdana" w:hAnsi="Verdana" w:cs="Verdana"/>
          <w:i w:val="0"/>
          <w:sz w:val="22"/>
          <w:szCs w:val="22"/>
        </w:rPr>
        <w:t xml:space="preserve">promoverá la difusión de las estadísticas sobre estas organizaciones para su consulta por parte del público en general a través de la publicación de datos y cifras a cargo del Grupo de Analítica de Datos o el que haga sus veces. </w:t>
      </w:r>
    </w:p>
    <w:p w14:paraId="5A47B0BC" w14:textId="597F2993" w:rsidR="00B35589" w:rsidRPr="00B35589" w:rsidRDefault="002E4015">
      <w:pPr>
        <w:spacing w:before="240" w:after="240"/>
        <w:jc w:val="both"/>
        <w:rPr>
          <w:rFonts w:ascii="Verdana" w:eastAsia="Verdana" w:hAnsi="Verdana" w:cs="Verdana"/>
          <w:i w:val="0"/>
          <w:iCs/>
          <w:sz w:val="22"/>
          <w:szCs w:val="22"/>
        </w:rPr>
      </w:pPr>
      <w:r w:rsidRPr="003D4C57">
        <w:rPr>
          <w:rFonts w:ascii="Verdana" w:hAnsi="Verdana"/>
          <w:i w:val="0"/>
          <w:iCs/>
          <w:sz w:val="22"/>
          <w:szCs w:val="22"/>
        </w:rPr>
        <w:t xml:space="preserve">Los valores definidos para las condiciones financieras </w:t>
      </w:r>
      <w:r w:rsidR="00B35589" w:rsidRPr="003D4C57">
        <w:rPr>
          <w:rFonts w:ascii="Verdana" w:hAnsi="Verdana"/>
          <w:i w:val="0"/>
          <w:iCs/>
          <w:sz w:val="22"/>
          <w:szCs w:val="22"/>
        </w:rPr>
        <w:t>se ajustarán anualmente en forma automática en el mismo sentido y porcentaje en que varíe el Índice de Precios al Consumidor que suministre el DANE. El valor resultante se aproximará al múltiplo en millones de pesos inmediatamente superior. El primer ajuste se realizará en febrero de 2026 tomando como base la variación del índice de Precios al Consumidor durante el año 202</w:t>
      </w:r>
      <w:r w:rsidR="003D4C57">
        <w:rPr>
          <w:rFonts w:ascii="Verdana" w:hAnsi="Verdana"/>
          <w:i w:val="0"/>
          <w:iCs/>
          <w:sz w:val="22"/>
          <w:szCs w:val="22"/>
        </w:rPr>
        <w:t>5</w:t>
      </w:r>
      <w:r w:rsidR="00B35589" w:rsidRPr="003D4C57">
        <w:rPr>
          <w:rFonts w:ascii="Verdana" w:hAnsi="Verdana"/>
          <w:i w:val="0"/>
          <w:iCs/>
          <w:sz w:val="22"/>
          <w:szCs w:val="22"/>
        </w:rPr>
        <w:t>. La Superintendencia publicará dicho ajuste mediante comunicado en su página web.</w:t>
      </w:r>
      <w:r w:rsidR="003D4C57">
        <w:rPr>
          <w:rFonts w:ascii="Verdana" w:hAnsi="Verdana"/>
          <w:i w:val="0"/>
          <w:iCs/>
          <w:sz w:val="22"/>
          <w:szCs w:val="22"/>
        </w:rPr>
        <w:t xml:space="preserve"> </w:t>
      </w:r>
      <w:r w:rsidR="00B35589" w:rsidRPr="003D4C57">
        <w:rPr>
          <w:rFonts w:ascii="Verdana" w:hAnsi="Verdana"/>
          <w:i w:val="0"/>
          <w:iCs/>
          <w:color w:val="333333"/>
          <w:sz w:val="22"/>
          <w:szCs w:val="22"/>
          <w:shd w:val="clear" w:color="auto" w:fill="FFFFFF"/>
        </w:rPr>
        <w:t>Para efectos de la verificación de las condiciones financieras, se tomará en cuenta el último reporte realizado por la organización a la Superintendencia de la Economía Solidaria o, en su defecto, la información de los activos que reporte a corte 31 de diciembre del respectivo año anterior.</w:t>
      </w:r>
    </w:p>
    <w:p w14:paraId="612AD7DA" w14:textId="0AE21108" w:rsidR="003E4DD2" w:rsidRDefault="009E07EE">
      <w:pPr>
        <w:spacing w:before="240" w:after="240"/>
        <w:jc w:val="both"/>
        <w:rPr>
          <w:rFonts w:ascii="Verdana" w:eastAsia="Verdana" w:hAnsi="Verdana" w:cs="Verdana"/>
          <w:b/>
          <w:i w:val="0"/>
          <w:sz w:val="22"/>
          <w:szCs w:val="22"/>
        </w:rPr>
      </w:pPr>
      <w:r>
        <w:rPr>
          <w:rFonts w:ascii="Verdana" w:eastAsia="Verdana" w:hAnsi="Verdana" w:cs="Verdana"/>
          <w:i w:val="0"/>
          <w:sz w:val="22"/>
          <w:szCs w:val="22"/>
        </w:rPr>
        <w:t>De esta manera, la Superintendencia avanza en la construcción de un modelo de supervisión más eficiente, accesible y adaptado a la realidad del sector, promoviendo el cumplimiento normativo, la transparencia y el fortalecimiento institucional de las organizaciones solidarias, sin desconocer sus particularidades territoriales, operativas y financieras.</w:t>
      </w:r>
    </w:p>
    <w:p w14:paraId="43A7C161" w14:textId="77777777" w:rsidR="003E4DD2" w:rsidRDefault="009E07EE">
      <w:pPr>
        <w:jc w:val="both"/>
        <w:rPr>
          <w:rFonts w:ascii="Verdana" w:eastAsia="Verdana" w:hAnsi="Verdana" w:cs="Verdana"/>
          <w:i w:val="0"/>
          <w:sz w:val="22"/>
          <w:szCs w:val="22"/>
        </w:rPr>
      </w:pPr>
      <w:r>
        <w:rPr>
          <w:rFonts w:ascii="Verdana" w:eastAsia="Verdana" w:hAnsi="Verdana" w:cs="Verdana"/>
          <w:i w:val="0"/>
          <w:sz w:val="22"/>
          <w:szCs w:val="22"/>
        </w:rPr>
        <w:lastRenderedPageBreak/>
        <w:t>En consecuencia, esta Superintendencia imparte las siguientes instrucciones:</w:t>
      </w:r>
    </w:p>
    <w:p w14:paraId="15B27165" w14:textId="77777777" w:rsidR="003E4DD2" w:rsidRDefault="003E4DD2">
      <w:pPr>
        <w:spacing w:line="276" w:lineRule="auto"/>
        <w:ind w:right="192"/>
        <w:jc w:val="both"/>
        <w:rPr>
          <w:rFonts w:ascii="Verdana" w:eastAsia="Verdana" w:hAnsi="Verdana" w:cs="Verdana"/>
          <w:i w:val="0"/>
          <w:sz w:val="22"/>
          <w:szCs w:val="22"/>
        </w:rPr>
      </w:pPr>
    </w:p>
    <w:p w14:paraId="79B4EA48" w14:textId="7FE84FBA" w:rsidR="003E4DD2" w:rsidRDefault="009E07EE">
      <w:pPr>
        <w:pStyle w:val="Ttulo3"/>
        <w:jc w:val="both"/>
        <w:rPr>
          <w:rFonts w:ascii="Verdana" w:eastAsia="Verdana" w:hAnsi="Verdana" w:cs="Verdana"/>
          <w:b w:val="0"/>
        </w:rPr>
      </w:pPr>
      <w:r>
        <w:rPr>
          <w:rFonts w:ascii="Verdana" w:eastAsia="Verdana" w:hAnsi="Verdana" w:cs="Verdana"/>
        </w:rPr>
        <w:t xml:space="preserve">PRIMERA: </w:t>
      </w:r>
      <w:r>
        <w:rPr>
          <w:rFonts w:ascii="Verdana" w:eastAsia="Verdana" w:hAnsi="Verdana" w:cs="Verdana"/>
          <w:b w:val="0"/>
        </w:rPr>
        <w:t xml:space="preserve">Adicionar </w:t>
      </w:r>
      <w:r>
        <w:rPr>
          <w:rFonts w:ascii="Verdana" w:eastAsia="Verdana" w:hAnsi="Verdana" w:cs="Verdana"/>
          <w:b w:val="0"/>
          <w:color w:val="000000"/>
        </w:rPr>
        <w:t>el numeral 6.2.3</w:t>
      </w:r>
      <w:r w:rsidR="00D63918">
        <w:rPr>
          <w:rFonts w:ascii="Verdana" w:eastAsia="Verdana" w:hAnsi="Verdana" w:cs="Verdana"/>
          <w:b w:val="0"/>
          <w:color w:val="000000"/>
        </w:rPr>
        <w:t>.3.</w:t>
      </w:r>
      <w:r>
        <w:rPr>
          <w:rFonts w:ascii="Verdana" w:eastAsia="Verdana" w:hAnsi="Verdana" w:cs="Verdana"/>
          <w:b w:val="0"/>
          <w:color w:val="000000"/>
        </w:rPr>
        <w:t xml:space="preserve"> </w:t>
      </w:r>
      <w:r>
        <w:rPr>
          <w:rFonts w:ascii="Verdana" w:eastAsia="Verdana" w:hAnsi="Verdana" w:cs="Verdana"/>
          <w:b w:val="0"/>
        </w:rPr>
        <w:t>a</w:t>
      </w:r>
      <w:r>
        <w:rPr>
          <w:rFonts w:ascii="Verdana" w:eastAsia="Verdana" w:hAnsi="Verdana" w:cs="Verdana"/>
          <w:b w:val="0"/>
          <w:color w:val="000000"/>
        </w:rPr>
        <w:t>l capítulo I, del título II de la Circular Básica Contable y Financiera</w:t>
      </w:r>
      <w:r>
        <w:rPr>
          <w:rFonts w:ascii="Verdana" w:eastAsia="Verdana" w:hAnsi="Verdana" w:cs="Verdana"/>
          <w:b w:val="0"/>
        </w:rPr>
        <w:t>, el cual quedará así:</w:t>
      </w:r>
    </w:p>
    <w:p w14:paraId="2C8CCE02" w14:textId="77777777" w:rsidR="003E4DD2" w:rsidRDefault="003E4DD2"/>
    <w:p w14:paraId="30C7F453" w14:textId="0E478E5B" w:rsidR="003E4DD2" w:rsidRDefault="009E07EE">
      <w:pPr>
        <w:pStyle w:val="Ttulo2"/>
        <w:keepLines/>
        <w:spacing w:before="80" w:after="40"/>
        <w:rPr>
          <w:rFonts w:ascii="Verdana" w:eastAsia="Verdana" w:hAnsi="Verdana" w:cs="Verdana"/>
          <w:sz w:val="22"/>
          <w:szCs w:val="22"/>
        </w:rPr>
      </w:pPr>
      <w:bookmarkStart w:id="3" w:name="_heading=h.fz7p33ig98u3" w:colFirst="0" w:colLast="0"/>
      <w:bookmarkEnd w:id="3"/>
      <w:r>
        <w:rPr>
          <w:rFonts w:ascii="Verdana" w:eastAsia="Verdana" w:hAnsi="Verdana" w:cs="Verdana"/>
          <w:sz w:val="22"/>
          <w:szCs w:val="22"/>
        </w:rPr>
        <w:t>6.2.3</w:t>
      </w:r>
      <w:r w:rsidR="00F97EF0">
        <w:rPr>
          <w:rFonts w:ascii="Verdana" w:eastAsia="Verdana" w:hAnsi="Verdana" w:cs="Verdana"/>
          <w:sz w:val="22"/>
          <w:szCs w:val="22"/>
        </w:rPr>
        <w:t>.3</w:t>
      </w:r>
      <w:r>
        <w:rPr>
          <w:rFonts w:ascii="Verdana" w:eastAsia="Verdana" w:hAnsi="Verdana" w:cs="Verdana"/>
          <w:sz w:val="22"/>
          <w:szCs w:val="22"/>
        </w:rPr>
        <w:t xml:space="preserve"> Aplicación de enfoques diferenciales en la supervisión de organizaciones solidarias de tercer nivel</w:t>
      </w:r>
    </w:p>
    <w:p w14:paraId="01F4E694" w14:textId="77777777" w:rsidR="003E4DD2" w:rsidRDefault="003E4DD2">
      <w:pPr>
        <w:pStyle w:val="Ttulo2"/>
        <w:keepLines/>
        <w:spacing w:before="80" w:after="40"/>
        <w:rPr>
          <w:rFonts w:ascii="Verdana" w:eastAsia="Verdana" w:hAnsi="Verdana" w:cs="Verdana"/>
          <w:sz w:val="26"/>
          <w:szCs w:val="26"/>
        </w:rPr>
      </w:pPr>
      <w:bookmarkStart w:id="4" w:name="_heading=h.cljon1aehy1g" w:colFirst="0" w:colLast="0"/>
      <w:bookmarkEnd w:id="4"/>
    </w:p>
    <w:tbl>
      <w:tblPr>
        <w:tblStyle w:val="a"/>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0"/>
        <w:gridCol w:w="5295"/>
        <w:gridCol w:w="2235"/>
      </w:tblGrid>
      <w:tr w:rsidR="003E4DD2" w14:paraId="0B6BEDDA" w14:textId="77777777">
        <w:trPr>
          <w:trHeight w:val="825"/>
        </w:trPr>
        <w:tc>
          <w:tcPr>
            <w:tcW w:w="1290" w:type="dxa"/>
            <w:tcBorders>
              <w:top w:val="single" w:sz="6" w:space="0" w:color="CCCCCC"/>
              <w:left w:val="single" w:sz="6" w:space="0" w:color="000000"/>
              <w:bottom w:val="single" w:sz="6" w:space="0" w:color="000000"/>
              <w:right w:val="single" w:sz="6" w:space="0" w:color="000000"/>
            </w:tcBorders>
            <w:shd w:val="clear" w:color="auto" w:fill="D9D9D9"/>
            <w:tcMar>
              <w:top w:w="0" w:type="dxa"/>
              <w:left w:w="80" w:type="dxa"/>
              <w:bottom w:w="0" w:type="dxa"/>
              <w:right w:w="80" w:type="dxa"/>
            </w:tcMar>
          </w:tcPr>
          <w:p w14:paraId="2B3E67C0" w14:textId="77777777" w:rsidR="003E4DD2" w:rsidRDefault="009E07EE">
            <w:pPr>
              <w:jc w:val="center"/>
              <w:rPr>
                <w:rFonts w:ascii="Verdana" w:eastAsia="Verdana" w:hAnsi="Verdana" w:cs="Verdana"/>
                <w:b/>
                <w:i w:val="0"/>
                <w:sz w:val="18"/>
                <w:szCs w:val="18"/>
              </w:rPr>
            </w:pPr>
            <w:r>
              <w:rPr>
                <w:rFonts w:ascii="Verdana" w:eastAsia="Verdana" w:hAnsi="Verdana" w:cs="Verdana"/>
                <w:b/>
                <w:i w:val="0"/>
                <w:sz w:val="18"/>
                <w:szCs w:val="18"/>
              </w:rPr>
              <w:t>CÓDIGO FORMATO SICSES</w:t>
            </w:r>
          </w:p>
        </w:tc>
        <w:tc>
          <w:tcPr>
            <w:tcW w:w="5295" w:type="dxa"/>
            <w:tcBorders>
              <w:top w:val="single" w:sz="6" w:space="0" w:color="CCCCCC"/>
              <w:left w:val="nil"/>
              <w:bottom w:val="single" w:sz="6" w:space="0" w:color="000000"/>
              <w:right w:val="single" w:sz="6" w:space="0" w:color="000000"/>
            </w:tcBorders>
            <w:shd w:val="clear" w:color="auto" w:fill="D9D9D9"/>
            <w:tcMar>
              <w:top w:w="0" w:type="dxa"/>
              <w:left w:w="80" w:type="dxa"/>
              <w:bottom w:w="0" w:type="dxa"/>
              <w:right w:w="80" w:type="dxa"/>
            </w:tcMar>
          </w:tcPr>
          <w:p w14:paraId="141EFC22" w14:textId="77777777" w:rsidR="003E4DD2" w:rsidRDefault="003E4DD2">
            <w:pPr>
              <w:jc w:val="center"/>
              <w:rPr>
                <w:rFonts w:ascii="Verdana" w:eastAsia="Verdana" w:hAnsi="Verdana" w:cs="Verdana"/>
                <w:b/>
                <w:i w:val="0"/>
                <w:sz w:val="18"/>
                <w:szCs w:val="18"/>
              </w:rPr>
            </w:pPr>
          </w:p>
          <w:p w14:paraId="03BB647F" w14:textId="77777777" w:rsidR="003E4DD2" w:rsidRDefault="009E07EE">
            <w:pPr>
              <w:jc w:val="center"/>
              <w:rPr>
                <w:rFonts w:ascii="Verdana" w:eastAsia="Verdana" w:hAnsi="Verdana" w:cs="Verdana"/>
                <w:b/>
                <w:i w:val="0"/>
                <w:sz w:val="18"/>
                <w:szCs w:val="18"/>
              </w:rPr>
            </w:pPr>
            <w:r>
              <w:rPr>
                <w:rFonts w:ascii="Verdana" w:eastAsia="Verdana" w:hAnsi="Verdana" w:cs="Verdana"/>
                <w:b/>
                <w:i w:val="0"/>
                <w:sz w:val="18"/>
                <w:szCs w:val="18"/>
              </w:rPr>
              <w:t>NOMBRE FORMATO</w:t>
            </w:r>
          </w:p>
        </w:tc>
        <w:tc>
          <w:tcPr>
            <w:tcW w:w="2235" w:type="dxa"/>
            <w:tcBorders>
              <w:top w:val="single" w:sz="6" w:space="0" w:color="CCCCCC"/>
              <w:left w:val="nil"/>
              <w:bottom w:val="single" w:sz="6" w:space="0" w:color="000000"/>
              <w:right w:val="single" w:sz="6" w:space="0" w:color="000000"/>
            </w:tcBorders>
            <w:shd w:val="clear" w:color="auto" w:fill="D9D9D9"/>
            <w:tcMar>
              <w:top w:w="0" w:type="dxa"/>
              <w:left w:w="80" w:type="dxa"/>
              <w:bottom w:w="0" w:type="dxa"/>
              <w:right w:w="80" w:type="dxa"/>
            </w:tcMar>
          </w:tcPr>
          <w:p w14:paraId="470AFBD5" w14:textId="77777777" w:rsidR="003E4DD2" w:rsidRDefault="009E07EE">
            <w:pPr>
              <w:jc w:val="center"/>
              <w:rPr>
                <w:rFonts w:ascii="Verdana" w:eastAsia="Verdana" w:hAnsi="Verdana" w:cs="Verdana"/>
                <w:b/>
                <w:i w:val="0"/>
                <w:sz w:val="18"/>
                <w:szCs w:val="18"/>
              </w:rPr>
            </w:pPr>
            <w:r>
              <w:rPr>
                <w:rFonts w:ascii="Verdana" w:eastAsia="Verdana" w:hAnsi="Verdana" w:cs="Verdana"/>
                <w:b/>
                <w:i w:val="0"/>
                <w:sz w:val="18"/>
                <w:szCs w:val="18"/>
              </w:rPr>
              <w:t>Periodicidad</w:t>
            </w:r>
          </w:p>
        </w:tc>
      </w:tr>
      <w:tr w:rsidR="003E4DD2" w14:paraId="1251B60E" w14:textId="77777777">
        <w:trPr>
          <w:trHeight w:val="55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46908502"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3</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314B7C23"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CATÁLOGO ÚNICO DE INFORMACIÓN FINANCIERA CON FINES DE SUPERVISIÓN</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37E61F76"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4B9E4ED4"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63C1F5CD"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130</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22FF9496"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INFORMACIÓN ESTADÍSTICA</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41F41389"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336A2DAF"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1342EF9D"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143</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09EF1049"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INFORMACIÓN RELACIONADA CON GRUPO DE INTERÉS</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3350877A"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12348FC2" w14:textId="77777777">
        <w:trPr>
          <w:trHeight w:val="55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0B676EAA"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162</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1A0D2C4D"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INFORME APLICACIÓN DE EXCEDENTES APROBADA EN ASAMBLEA GENERAL ORDINARIA(1)</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066956D3"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2EB70BDF"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057BB450"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8888</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75C10254"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INFORME DE ÓRGANOS DE DIRECCIÓN Y CONTROL</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0883433C"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61FE9B8E"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3F4F30E5"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9013</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5C139496"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INFORME INDIVIDUAL DE APORTES O CONTRIBUCIONES</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76381EB2"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2D352EB0"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7FA29164"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9034</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1AB09E5E"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RELACIÓN DE EROGACIONES A DIRECTIVOS</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04B84B80"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3232C554"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6C4CF0D3"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9998</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5EBFB527"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IDENTIFICACIÓN</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7B958596"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5E32570F"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60C8E87A"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9999</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168B7CAB"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ASOCIADOS, EMPLEADOS Y TERCEROS</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003A78A1"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bl>
    <w:p w14:paraId="4C42B87C" w14:textId="77777777" w:rsidR="003E4DD2" w:rsidRDefault="009E07EE">
      <w:pPr>
        <w:pStyle w:val="Ttulo2"/>
        <w:keepLines/>
        <w:spacing w:before="80" w:after="40"/>
        <w:rPr>
          <w:rFonts w:ascii="Verdana" w:eastAsia="Verdana" w:hAnsi="Verdana" w:cs="Verdana"/>
          <w:sz w:val="22"/>
          <w:szCs w:val="22"/>
        </w:rPr>
      </w:pPr>
      <w:bookmarkStart w:id="5" w:name="_heading=h.ezczyfgn7521" w:colFirst="0" w:colLast="0"/>
      <w:bookmarkEnd w:id="5"/>
      <w:r>
        <w:rPr>
          <w:rFonts w:ascii="Verdana" w:eastAsia="Verdana" w:hAnsi="Verdana" w:cs="Verdana"/>
          <w:sz w:val="22"/>
          <w:szCs w:val="22"/>
        </w:rPr>
        <w:lastRenderedPageBreak/>
        <w:br/>
        <w:t>Las demás organizaciones solidarias que realicen actividades económicas que hagan exigible la presentación de otros formatos se seguirán rigiendo por lo establecido en el numeral 6.2.2. del Capítulo I del Título II de la Circular Básica Contable Financiera.</w:t>
      </w:r>
    </w:p>
    <w:p w14:paraId="36AC53B3" w14:textId="77777777" w:rsidR="003E4DD2" w:rsidRDefault="009E07EE">
      <w:pPr>
        <w:spacing w:before="120" w:after="120"/>
        <w:jc w:val="both"/>
        <w:rPr>
          <w:rFonts w:ascii="Verdana" w:eastAsia="Verdana" w:hAnsi="Verdana" w:cs="Verdana"/>
          <w:i w:val="0"/>
          <w:sz w:val="22"/>
          <w:szCs w:val="22"/>
        </w:rPr>
      </w:pPr>
      <w:r>
        <w:rPr>
          <w:rFonts w:ascii="Verdana" w:eastAsia="Verdana" w:hAnsi="Verdana" w:cs="Verdana"/>
          <w:i w:val="0"/>
          <w:sz w:val="22"/>
          <w:szCs w:val="22"/>
        </w:rPr>
        <w:t xml:space="preserve">Sin perjuicio de lo anterior, si las organizaciones solidarias destinatarias de este enfoque diferencial realizan actividades económicas que hagan exigible la presentación de otros formatos se seguirán rigiendo por lo establecido en el numeral 6.2.2. del Capítulo I del Título II de la Circular Básica Contable Financiera, deberán reportar dichos formatos. </w:t>
      </w:r>
    </w:p>
    <w:p w14:paraId="0C13CE07" w14:textId="77777777" w:rsidR="003E4DD2" w:rsidRDefault="009E07EE">
      <w:pPr>
        <w:spacing w:before="120" w:after="120"/>
        <w:jc w:val="both"/>
        <w:rPr>
          <w:rFonts w:ascii="Verdana" w:eastAsia="Verdana" w:hAnsi="Verdana" w:cs="Verdana"/>
          <w:i w:val="0"/>
          <w:sz w:val="22"/>
          <w:szCs w:val="22"/>
        </w:rPr>
      </w:pPr>
      <w:r>
        <w:rPr>
          <w:rFonts w:ascii="Verdana" w:eastAsia="Verdana" w:hAnsi="Verdana" w:cs="Verdana"/>
          <w:i w:val="0"/>
          <w:sz w:val="22"/>
          <w:szCs w:val="22"/>
        </w:rPr>
        <w:t>Adicionalmente, la Superintendencia de la Economía Solidaria deberá aplicar enfoques diferenciales en el ejercicio de las funciones de inspección, vigilancia y control y en especial en los procedimientos administrativos sancionatorios por no reporte de información, frente a las organizaciones solidarias sujetas a este nuevo régimen, en consonancia con los lineamientos establecidos en la política de supervisión definida por la entidad. Este enfoque deberá considerar las condiciones territoriales, operativas y financieras particulares de dichas organizaciones, con el propósito de garantizar una supervisión más equitativa, proporcional y efectiva.</w:t>
      </w:r>
    </w:p>
    <w:p w14:paraId="6ED38768" w14:textId="77777777" w:rsidR="003E4DD2" w:rsidRDefault="009E07EE">
      <w:pPr>
        <w:spacing w:before="120" w:after="120"/>
        <w:jc w:val="both"/>
        <w:rPr>
          <w:rFonts w:ascii="Verdana" w:eastAsia="Verdana" w:hAnsi="Verdana" w:cs="Verdana"/>
          <w:i w:val="0"/>
          <w:sz w:val="22"/>
          <w:szCs w:val="22"/>
        </w:rPr>
      </w:pPr>
      <w:r>
        <w:rPr>
          <w:rFonts w:ascii="Verdana" w:eastAsia="Verdana" w:hAnsi="Verdana" w:cs="Verdana"/>
          <w:i w:val="0"/>
          <w:sz w:val="22"/>
          <w:szCs w:val="22"/>
        </w:rPr>
        <w:t xml:space="preserve">De igual forma, la Superintendencia deberá implementar programas y estrategias pedagógicas orientadas a fortalecer el cumplimiento normativo por parte de las organizaciones solidarias, en particular aquellas que no han presentado información financiera o que han suspendido la remisión de reportes. Estas estrategias deberán incluir acciones de formación, asistencia técnica y acompañamiento institucional, ajustadas a las capacidades y necesidades del tercer nivel de supervisión y de la Superintendencia de Economía Solidaria. </w:t>
      </w:r>
    </w:p>
    <w:p w14:paraId="43FE88B5" w14:textId="77777777" w:rsidR="003E4DD2" w:rsidRDefault="009E07EE">
      <w:pPr>
        <w:spacing w:before="120" w:after="120"/>
        <w:jc w:val="both"/>
        <w:rPr>
          <w:rFonts w:ascii="Verdana" w:eastAsia="Verdana" w:hAnsi="Verdana" w:cs="Verdana"/>
          <w:b/>
          <w:i w:val="0"/>
          <w:sz w:val="22"/>
          <w:szCs w:val="22"/>
        </w:rPr>
      </w:pPr>
      <w:r>
        <w:rPr>
          <w:rFonts w:ascii="Verdana" w:eastAsia="Verdana" w:hAnsi="Verdana" w:cs="Verdana"/>
          <w:i w:val="0"/>
          <w:sz w:val="22"/>
          <w:szCs w:val="22"/>
        </w:rPr>
        <w:t>Finalmente, la Superintendencia desarrollará, en un plazo de seis (6) meses contados a partir de la entrada en vigencia de la circular, campañas de promoción, difusión, socialización y sensibilización orientadas a informar y explicar los cambios adoptados en relación con los reportes socioeconómicos, con el fin de facilitar su apropiación por parte de las organizaciones solidarias y fortalecer una cultura de reporte transparente, responsable y orientada a la mejora continua.</w:t>
      </w:r>
    </w:p>
    <w:p w14:paraId="16CF5F33" w14:textId="77777777" w:rsidR="003E4DD2" w:rsidRDefault="009E07EE">
      <w:pPr>
        <w:ind w:right="113"/>
        <w:jc w:val="both"/>
        <w:rPr>
          <w:rFonts w:ascii="Verdana" w:eastAsia="Verdana" w:hAnsi="Verdana" w:cs="Verdana"/>
          <w:b/>
          <w:i w:val="0"/>
          <w:strike/>
          <w:color w:val="FF0000"/>
          <w:sz w:val="22"/>
          <w:szCs w:val="22"/>
        </w:rPr>
      </w:pPr>
      <w:r>
        <w:rPr>
          <w:rFonts w:ascii="Verdana" w:eastAsia="Verdana" w:hAnsi="Verdana" w:cs="Verdana"/>
          <w:b/>
          <w:i w:val="0"/>
          <w:sz w:val="22"/>
          <w:szCs w:val="22"/>
        </w:rPr>
        <w:lastRenderedPageBreak/>
        <w:t>SEGUNDA:</w:t>
      </w:r>
      <w:r>
        <w:rPr>
          <w:rFonts w:ascii="Verdana" w:eastAsia="Verdana" w:hAnsi="Verdana" w:cs="Verdana"/>
          <w:i w:val="0"/>
          <w:sz w:val="22"/>
          <w:szCs w:val="22"/>
        </w:rPr>
        <w:t xml:space="preserve"> Conforme a lo previsto en el inciso primero del artículo 65 de la Ley 1437 de 2011, la presente Circular rige a partir de la fecha de su publicación en el Diario Oficial.</w:t>
      </w:r>
    </w:p>
    <w:p w14:paraId="2C83DA08" w14:textId="77777777" w:rsidR="003E4DD2" w:rsidRDefault="003E4DD2">
      <w:pPr>
        <w:spacing w:line="276" w:lineRule="auto"/>
        <w:ind w:right="192"/>
        <w:jc w:val="both"/>
        <w:rPr>
          <w:rFonts w:ascii="Verdana" w:eastAsia="Verdana" w:hAnsi="Verdana" w:cs="Verdana"/>
          <w:i w:val="0"/>
          <w:sz w:val="22"/>
          <w:szCs w:val="22"/>
        </w:rPr>
      </w:pPr>
    </w:p>
    <w:p w14:paraId="595028B7" w14:textId="77777777" w:rsidR="003E4DD2" w:rsidRDefault="009E07EE">
      <w:pPr>
        <w:spacing w:line="276" w:lineRule="auto"/>
        <w:ind w:right="192"/>
        <w:rPr>
          <w:rFonts w:ascii="Verdana" w:eastAsia="Verdana" w:hAnsi="Verdana" w:cs="Verdana"/>
          <w:i w:val="0"/>
          <w:sz w:val="22"/>
          <w:szCs w:val="22"/>
        </w:rPr>
      </w:pPr>
      <w:r>
        <w:rPr>
          <w:rFonts w:ascii="Verdana" w:eastAsia="Verdana" w:hAnsi="Verdana" w:cs="Verdana"/>
          <w:i w:val="0"/>
          <w:sz w:val="22"/>
          <w:szCs w:val="22"/>
        </w:rPr>
        <w:t>Cordialmente,</w:t>
      </w:r>
    </w:p>
    <w:p w14:paraId="7336DD14" w14:textId="77777777" w:rsidR="003E4DD2" w:rsidRDefault="003E4DD2">
      <w:pPr>
        <w:spacing w:line="276" w:lineRule="auto"/>
        <w:ind w:right="192"/>
        <w:rPr>
          <w:rFonts w:ascii="Verdana" w:eastAsia="Verdana" w:hAnsi="Verdana" w:cs="Verdana"/>
          <w:i w:val="0"/>
          <w:sz w:val="22"/>
          <w:szCs w:val="22"/>
        </w:rPr>
      </w:pPr>
    </w:p>
    <w:p w14:paraId="1ACC37FC" w14:textId="77777777" w:rsidR="003E4DD2" w:rsidRDefault="003E4DD2">
      <w:pPr>
        <w:spacing w:line="276" w:lineRule="auto"/>
        <w:ind w:right="192"/>
        <w:rPr>
          <w:rFonts w:ascii="Verdana" w:eastAsia="Verdana" w:hAnsi="Verdana" w:cs="Verdana"/>
          <w:i w:val="0"/>
          <w:sz w:val="22"/>
          <w:szCs w:val="22"/>
        </w:rPr>
      </w:pPr>
    </w:p>
    <w:p w14:paraId="278C91CB" w14:textId="77777777" w:rsidR="003E4DD2" w:rsidRDefault="003E4DD2">
      <w:pPr>
        <w:spacing w:line="276" w:lineRule="auto"/>
        <w:ind w:right="192"/>
        <w:rPr>
          <w:rFonts w:ascii="Verdana" w:eastAsia="Verdana" w:hAnsi="Verdana" w:cs="Verdana"/>
          <w:i w:val="0"/>
          <w:sz w:val="22"/>
          <w:szCs w:val="22"/>
        </w:rPr>
      </w:pPr>
    </w:p>
    <w:p w14:paraId="56C1EB04" w14:textId="77777777" w:rsidR="003E4DD2" w:rsidRDefault="009E07EE">
      <w:pPr>
        <w:spacing w:line="276" w:lineRule="auto"/>
        <w:ind w:right="192"/>
        <w:rPr>
          <w:rFonts w:ascii="Verdana" w:eastAsia="Verdana" w:hAnsi="Verdana" w:cs="Verdana"/>
          <w:b/>
          <w:i w:val="0"/>
          <w:sz w:val="22"/>
          <w:szCs w:val="22"/>
        </w:rPr>
      </w:pPr>
      <w:r>
        <w:rPr>
          <w:rFonts w:ascii="Verdana" w:eastAsia="Verdana" w:hAnsi="Verdana" w:cs="Verdana"/>
          <w:b/>
          <w:i w:val="0"/>
          <w:sz w:val="22"/>
          <w:szCs w:val="22"/>
        </w:rPr>
        <w:t>MARÍA JOSÉ NAVARRO MUÑOZ</w:t>
      </w:r>
    </w:p>
    <w:p w14:paraId="6861E339" w14:textId="77777777" w:rsidR="003E4DD2" w:rsidRDefault="009E07EE">
      <w:pPr>
        <w:spacing w:line="276" w:lineRule="auto"/>
        <w:ind w:right="192"/>
        <w:rPr>
          <w:rFonts w:ascii="Verdana" w:eastAsia="Verdana" w:hAnsi="Verdana" w:cs="Verdana"/>
          <w:i w:val="0"/>
          <w:sz w:val="22"/>
          <w:szCs w:val="22"/>
        </w:rPr>
      </w:pPr>
      <w:r>
        <w:rPr>
          <w:rFonts w:ascii="Verdana" w:eastAsia="Verdana" w:hAnsi="Verdana" w:cs="Verdana"/>
          <w:i w:val="0"/>
          <w:sz w:val="22"/>
          <w:szCs w:val="22"/>
        </w:rPr>
        <w:t>Superintendenta de la Economía Solidaria</w:t>
      </w:r>
    </w:p>
    <w:p w14:paraId="0E56FBB2" w14:textId="77777777" w:rsidR="003E4DD2" w:rsidRDefault="003E4DD2">
      <w:pPr>
        <w:spacing w:line="276" w:lineRule="auto"/>
        <w:ind w:right="192"/>
        <w:rPr>
          <w:rFonts w:ascii="Verdana" w:eastAsia="Verdana" w:hAnsi="Verdana" w:cs="Verdana"/>
          <w:i w:val="0"/>
          <w:sz w:val="22"/>
          <w:szCs w:val="22"/>
        </w:rPr>
      </w:pPr>
    </w:p>
    <w:p w14:paraId="3A02840D" w14:textId="77777777" w:rsidR="003E4DD2" w:rsidRDefault="009E07EE">
      <w:pPr>
        <w:ind w:right="18"/>
        <w:jc w:val="both"/>
        <w:rPr>
          <w:rFonts w:ascii="Times New Roman" w:eastAsia="Times New Roman" w:hAnsi="Times New Roman" w:cs="Times New Roman"/>
          <w:i w:val="0"/>
        </w:rPr>
      </w:pPr>
      <w:r>
        <w:rPr>
          <w:rFonts w:ascii="Verdana" w:eastAsia="Verdana" w:hAnsi="Verdana" w:cs="Verdana"/>
          <w:i w:val="0"/>
          <w:color w:val="000000"/>
          <w:sz w:val="14"/>
          <w:szCs w:val="14"/>
        </w:rPr>
        <w:t>Proyectó: DIANA PATRICIA CABRERA ERAZO – Intendenta de Cooperativas y Otras Organizaciones</w:t>
      </w:r>
    </w:p>
    <w:p w14:paraId="0D90BCE5" w14:textId="77777777" w:rsidR="003E4DD2" w:rsidRDefault="009E07EE">
      <w:pPr>
        <w:ind w:right="18"/>
        <w:jc w:val="both"/>
        <w:rPr>
          <w:rFonts w:ascii="Times New Roman" w:eastAsia="Times New Roman" w:hAnsi="Times New Roman" w:cs="Times New Roman"/>
          <w:i w:val="0"/>
        </w:rPr>
      </w:pPr>
      <w:r>
        <w:rPr>
          <w:rFonts w:ascii="Verdana" w:eastAsia="Verdana" w:hAnsi="Verdana" w:cs="Verdana"/>
          <w:i w:val="0"/>
          <w:color w:val="000000"/>
          <w:sz w:val="14"/>
          <w:szCs w:val="14"/>
        </w:rPr>
        <w:t>JHANIELA JIMÉNEZ GUTIÉRREZ – Superintendenta Delegada para la Supervisión del Ahorro y la Forma Asociativa Solidaria</w:t>
      </w:r>
    </w:p>
    <w:p w14:paraId="04AB4C53" w14:textId="77777777" w:rsidR="003E4DD2" w:rsidRPr="0026249C" w:rsidRDefault="009E07EE">
      <w:pPr>
        <w:ind w:right="18"/>
        <w:jc w:val="both"/>
        <w:rPr>
          <w:rFonts w:ascii="Times New Roman" w:eastAsia="Times New Roman" w:hAnsi="Times New Roman" w:cs="Times New Roman"/>
          <w:i w:val="0"/>
          <w:lang w:val="pt-PT"/>
        </w:rPr>
      </w:pPr>
      <w:r w:rsidRPr="0026249C">
        <w:rPr>
          <w:rFonts w:ascii="Verdana" w:eastAsia="Verdana" w:hAnsi="Verdana" w:cs="Verdana"/>
          <w:i w:val="0"/>
          <w:color w:val="000000"/>
          <w:sz w:val="14"/>
          <w:szCs w:val="14"/>
          <w:lang w:val="pt-PT"/>
        </w:rPr>
        <w:t>Adjunto: Anexo técnico </w:t>
      </w:r>
    </w:p>
    <w:p w14:paraId="3A9BC94B" w14:textId="77777777" w:rsidR="003E4DD2" w:rsidRPr="0026249C" w:rsidRDefault="009E07EE">
      <w:pPr>
        <w:ind w:right="18"/>
        <w:jc w:val="both"/>
        <w:rPr>
          <w:rFonts w:ascii="Times New Roman" w:eastAsia="Times New Roman" w:hAnsi="Times New Roman" w:cs="Times New Roman"/>
          <w:i w:val="0"/>
          <w:lang w:val="pt-PT"/>
        </w:rPr>
      </w:pPr>
      <w:proofErr w:type="spellStart"/>
      <w:r w:rsidRPr="0026249C">
        <w:rPr>
          <w:rFonts w:ascii="Verdana" w:eastAsia="Verdana" w:hAnsi="Verdana" w:cs="Verdana"/>
          <w:i w:val="0"/>
          <w:color w:val="000000"/>
          <w:sz w:val="14"/>
          <w:szCs w:val="14"/>
          <w:lang w:val="pt-PT"/>
        </w:rPr>
        <w:t>Hoja</w:t>
      </w:r>
      <w:proofErr w:type="spellEnd"/>
      <w:r w:rsidRPr="0026249C">
        <w:rPr>
          <w:rFonts w:ascii="Verdana" w:eastAsia="Verdana" w:hAnsi="Verdana" w:cs="Verdana"/>
          <w:i w:val="0"/>
          <w:color w:val="000000"/>
          <w:sz w:val="14"/>
          <w:szCs w:val="14"/>
          <w:lang w:val="pt-PT"/>
        </w:rPr>
        <w:t xml:space="preserve"> modificada</w:t>
      </w:r>
    </w:p>
    <w:p w14:paraId="0586247B" w14:textId="77777777" w:rsidR="003E4DD2" w:rsidRPr="0026249C" w:rsidRDefault="009E07EE">
      <w:pPr>
        <w:ind w:right="18"/>
        <w:jc w:val="both"/>
        <w:rPr>
          <w:rFonts w:ascii="Verdana" w:eastAsia="Verdana" w:hAnsi="Verdana" w:cs="Verdana"/>
          <w:i w:val="0"/>
          <w:color w:val="000000"/>
          <w:sz w:val="14"/>
          <w:szCs w:val="14"/>
          <w:lang w:val="pt-PT"/>
        </w:rPr>
      </w:pPr>
      <w:r w:rsidRPr="0026249C">
        <w:rPr>
          <w:rFonts w:ascii="Verdana" w:eastAsia="Verdana" w:hAnsi="Verdana" w:cs="Verdana"/>
          <w:i w:val="0"/>
          <w:color w:val="000000"/>
          <w:sz w:val="14"/>
          <w:szCs w:val="14"/>
          <w:lang w:val="pt-PT"/>
        </w:rPr>
        <w:t xml:space="preserve">Matriz agenda </w:t>
      </w:r>
      <w:proofErr w:type="spellStart"/>
      <w:r w:rsidRPr="0026249C">
        <w:rPr>
          <w:rFonts w:ascii="Verdana" w:eastAsia="Verdana" w:hAnsi="Verdana" w:cs="Verdana"/>
          <w:i w:val="0"/>
          <w:color w:val="000000"/>
          <w:sz w:val="14"/>
          <w:szCs w:val="14"/>
          <w:lang w:val="pt-PT"/>
        </w:rPr>
        <w:t>regulatoria</w:t>
      </w:r>
      <w:proofErr w:type="spellEnd"/>
    </w:p>
    <w:p w14:paraId="06323B2F" w14:textId="77777777" w:rsidR="003E4DD2" w:rsidRDefault="009E07EE">
      <w:pPr>
        <w:ind w:right="18"/>
        <w:jc w:val="both"/>
        <w:rPr>
          <w:rFonts w:ascii="Times New Roman" w:eastAsia="Times New Roman" w:hAnsi="Times New Roman" w:cs="Times New Roman"/>
          <w:i w:val="0"/>
        </w:rPr>
      </w:pPr>
      <w:r>
        <w:rPr>
          <w:rFonts w:ascii="Verdana" w:eastAsia="Verdana" w:hAnsi="Verdana" w:cs="Verdana"/>
          <w:i w:val="0"/>
          <w:color w:val="000000"/>
          <w:sz w:val="14"/>
          <w:szCs w:val="14"/>
        </w:rPr>
        <w:t>Concepto jurídico viabilidad</w:t>
      </w:r>
    </w:p>
    <w:p w14:paraId="50152BE7" w14:textId="77777777" w:rsidR="003E4DD2" w:rsidRDefault="003E4DD2">
      <w:pPr>
        <w:spacing w:line="276" w:lineRule="auto"/>
        <w:ind w:right="192"/>
        <w:jc w:val="both"/>
        <w:rPr>
          <w:rFonts w:ascii="Verdana" w:eastAsia="Verdana" w:hAnsi="Verdana" w:cs="Verdana"/>
          <w:i w:val="0"/>
          <w:sz w:val="22"/>
          <w:szCs w:val="22"/>
        </w:rPr>
      </w:pPr>
    </w:p>
    <w:p w14:paraId="57420EBD" w14:textId="77777777" w:rsidR="003E4DD2" w:rsidRDefault="003E4DD2">
      <w:pPr>
        <w:jc w:val="both"/>
        <w:rPr>
          <w:rFonts w:ascii="Verdana" w:eastAsia="Verdana" w:hAnsi="Verdana" w:cs="Verdana"/>
          <w:i w:val="0"/>
          <w:sz w:val="22"/>
          <w:szCs w:val="22"/>
        </w:rPr>
      </w:pPr>
    </w:p>
    <w:p w14:paraId="1C3C4FFD" w14:textId="77777777" w:rsidR="003E4DD2" w:rsidRDefault="003E4DD2">
      <w:pPr>
        <w:jc w:val="both"/>
        <w:rPr>
          <w:rFonts w:ascii="Verdana" w:eastAsia="Verdana" w:hAnsi="Verdana" w:cs="Verdana"/>
          <w:sz w:val="22"/>
          <w:szCs w:val="22"/>
        </w:rPr>
      </w:pPr>
    </w:p>
    <w:p w14:paraId="50D562E4" w14:textId="77777777" w:rsidR="003E4DD2" w:rsidRDefault="003E4DD2">
      <w:pPr>
        <w:jc w:val="both"/>
        <w:rPr>
          <w:rFonts w:ascii="Verdana" w:eastAsia="Verdana" w:hAnsi="Verdana" w:cs="Verdana"/>
          <w:sz w:val="22"/>
          <w:szCs w:val="22"/>
        </w:rPr>
      </w:pPr>
    </w:p>
    <w:sectPr w:rsidR="003E4DD2">
      <w:headerReference w:type="even" r:id="rId8"/>
      <w:headerReference w:type="default" r:id="rId9"/>
      <w:footerReference w:type="default" r:id="rId10"/>
      <w:headerReference w:type="first" r:id="rId11"/>
      <w:footerReference w:type="first" r:id="rId12"/>
      <w:pgSz w:w="12242" w:h="15842"/>
      <w:pgMar w:top="1525" w:right="1418"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40AB" w14:textId="77777777" w:rsidR="002A2772" w:rsidRDefault="002A2772">
      <w:r>
        <w:separator/>
      </w:r>
    </w:p>
  </w:endnote>
  <w:endnote w:type="continuationSeparator" w:id="0">
    <w:p w14:paraId="50EF8398" w14:textId="77777777" w:rsidR="002A2772" w:rsidRDefault="002A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684A" w14:textId="77777777" w:rsidR="003E4DD2" w:rsidRDefault="009E07EE">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1312" behindDoc="0" locked="0" layoutInCell="1" hidden="0" allowOverlap="1" wp14:anchorId="6426B974" wp14:editId="3CA57207">
              <wp:simplePos x="0" y="0"/>
              <wp:positionH relativeFrom="column">
                <wp:posOffset>114300</wp:posOffset>
              </wp:positionH>
              <wp:positionV relativeFrom="paragraph">
                <wp:posOffset>152400</wp:posOffset>
              </wp:positionV>
              <wp:extent cx="5400675" cy="1239520"/>
              <wp:effectExtent l="0" t="0" r="0" b="0"/>
              <wp:wrapSquare wrapText="bothSides" distT="0" distB="0" distL="114300" distR="114300"/>
              <wp:docPr id="27" name="Rectángulo 27"/>
              <wp:cNvGraphicFramePr/>
              <a:graphic xmlns:a="http://schemas.openxmlformats.org/drawingml/2006/main">
                <a:graphicData uri="http://schemas.microsoft.com/office/word/2010/wordprocessingShape">
                  <wps:wsp>
                    <wps:cNvSpPr/>
                    <wps:spPr>
                      <a:xfrm>
                        <a:off x="2650425" y="3165003"/>
                        <a:ext cx="5391150" cy="1229995"/>
                      </a:xfrm>
                      <a:prstGeom prst="rect">
                        <a:avLst/>
                      </a:prstGeom>
                      <a:noFill/>
                      <a:ln>
                        <a:noFill/>
                      </a:ln>
                    </wps:spPr>
                    <wps:txbx>
                      <w:txbxContent>
                        <w:p w14:paraId="6452FFA6" w14:textId="77777777" w:rsidR="003E4DD2" w:rsidRDefault="009E07EE">
                          <w:pPr>
                            <w:spacing w:line="275" w:lineRule="auto"/>
                            <w:jc w:val="both"/>
                            <w:textDirection w:val="btLr"/>
                          </w:pPr>
                          <w:r>
                            <w:rPr>
                              <w:rFonts w:ascii="Verdana" w:eastAsia="Verdana" w:hAnsi="Verdana" w:cs="Verdana"/>
                              <w:color w:val="000000"/>
                              <w:sz w:val="18"/>
                            </w:rPr>
                            <w:t>______________________________________________________________________</w:t>
                          </w:r>
                        </w:p>
                        <w:p w14:paraId="5F267AF7" w14:textId="77777777" w:rsidR="003E4DD2" w:rsidRDefault="009E07EE">
                          <w:pPr>
                            <w:spacing w:line="275" w:lineRule="auto"/>
                            <w:jc w:val="both"/>
                            <w:textDirection w:val="btLr"/>
                          </w:pPr>
                          <w:r>
                            <w:rPr>
                              <w:rFonts w:ascii="Verdana" w:eastAsia="Verdana" w:hAnsi="Verdana" w:cs="Verdana"/>
                              <w:b/>
                              <w:i w:val="0"/>
                              <w:color w:val="000000"/>
                              <w:sz w:val="18"/>
                            </w:rPr>
                            <w:t>Superintendencia de la Economía Solidaria</w:t>
                          </w:r>
                        </w:p>
                        <w:p w14:paraId="624832A4" w14:textId="77777777" w:rsidR="003E4DD2" w:rsidRDefault="009E07EE">
                          <w:pPr>
                            <w:spacing w:line="275" w:lineRule="auto"/>
                            <w:jc w:val="both"/>
                            <w:textDirection w:val="btLr"/>
                          </w:pPr>
                          <w:r>
                            <w:rPr>
                              <w:rFonts w:ascii="Verdana" w:eastAsia="Verdana" w:hAnsi="Verdana" w:cs="Verdana"/>
                              <w:i w:val="0"/>
                              <w:color w:val="000000"/>
                              <w:sz w:val="18"/>
                            </w:rPr>
                            <w:t>Avenida Calle 24 (Esperanza) N° 60-50 Piso 8 Centro Empresarial Gran Estación</w:t>
                          </w:r>
                        </w:p>
                        <w:p w14:paraId="06CBA06A" w14:textId="77777777" w:rsidR="003E4DD2" w:rsidRDefault="009E07EE">
                          <w:pPr>
                            <w:spacing w:line="275" w:lineRule="auto"/>
                            <w:jc w:val="both"/>
                            <w:textDirection w:val="btLr"/>
                          </w:pPr>
                          <w:r>
                            <w:rPr>
                              <w:rFonts w:ascii="Verdana" w:eastAsia="Verdana" w:hAnsi="Verdana" w:cs="Verdana"/>
                              <w:i w:val="0"/>
                              <w:color w:val="000000"/>
                              <w:sz w:val="18"/>
                            </w:rPr>
                            <w:t>PBX: (+57) (601)7 560 557</w:t>
                          </w:r>
                        </w:p>
                        <w:p w14:paraId="4CD5A606" w14:textId="77777777" w:rsidR="003E4DD2" w:rsidRDefault="009E07EE">
                          <w:pPr>
                            <w:spacing w:line="275" w:lineRule="auto"/>
                            <w:jc w:val="both"/>
                            <w:textDirection w:val="btLr"/>
                          </w:pPr>
                          <w:r>
                            <w:rPr>
                              <w:rFonts w:ascii="Verdana" w:eastAsia="Verdana" w:hAnsi="Verdana" w:cs="Verdana"/>
                              <w:i w:val="0"/>
                              <w:color w:val="000000"/>
                              <w:sz w:val="18"/>
                            </w:rPr>
                            <w:t>Línea Gratis: 018000-180-430</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426B974" id="Rectángulo 27" o:spid="_x0000_s1026" style="position:absolute;margin-left:9pt;margin-top:12pt;width:425.25pt;height:9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" filled="f" stroked="f">
              <v:textbox inset="2.53958mm,1.2694mm,2.53958mm,1.2694mm">
                <w:txbxContent>
                  <w:p w14:paraId="6452FFA6" w14:textId="77777777" w:rsidR="003E4DD2" w:rsidRDefault="009E07EE">
                    <w:pPr>
                      <w:spacing w:line="275" w:lineRule="auto"/>
                      <w:jc w:val="both"/>
                      <w:textDirection w:val="btLr"/>
                    </w:pPr>
                    <w:r>
                      <w:rPr>
                        <w:rFonts w:ascii="Verdana" w:eastAsia="Verdana" w:hAnsi="Verdana" w:cs="Verdana"/>
                        <w:color w:val="000000"/>
                        <w:sz w:val="18"/>
                      </w:rPr>
                      <w:t>______________________________________________________________________</w:t>
                    </w:r>
                  </w:p>
                  <w:p w14:paraId="5F267AF7" w14:textId="77777777" w:rsidR="003E4DD2" w:rsidRDefault="009E07EE">
                    <w:pPr>
                      <w:spacing w:line="275" w:lineRule="auto"/>
                      <w:jc w:val="both"/>
                      <w:textDirection w:val="btLr"/>
                    </w:pPr>
                    <w:r>
                      <w:rPr>
                        <w:rFonts w:ascii="Verdana" w:eastAsia="Verdana" w:hAnsi="Verdana" w:cs="Verdana"/>
                        <w:b/>
                        <w:i w:val="0"/>
                        <w:color w:val="000000"/>
                        <w:sz w:val="18"/>
                      </w:rPr>
                      <w:t>Superintendencia de la Economía Solidaria</w:t>
                    </w:r>
                  </w:p>
                  <w:p w14:paraId="624832A4" w14:textId="77777777" w:rsidR="003E4DD2" w:rsidRDefault="009E07EE">
                    <w:pPr>
                      <w:spacing w:line="275" w:lineRule="auto"/>
                      <w:jc w:val="both"/>
                      <w:textDirection w:val="btLr"/>
                    </w:pPr>
                    <w:r>
                      <w:rPr>
                        <w:rFonts w:ascii="Verdana" w:eastAsia="Verdana" w:hAnsi="Verdana" w:cs="Verdana"/>
                        <w:i w:val="0"/>
                        <w:color w:val="000000"/>
                        <w:sz w:val="18"/>
                      </w:rPr>
                      <w:t xml:space="preserve">Avenida Calle 24 (Esperanza) </w:t>
                    </w:r>
                    <w:proofErr w:type="spellStart"/>
                    <w:r>
                      <w:rPr>
                        <w:rFonts w:ascii="Verdana" w:eastAsia="Verdana" w:hAnsi="Verdana" w:cs="Verdana"/>
                        <w:i w:val="0"/>
                        <w:color w:val="000000"/>
                        <w:sz w:val="18"/>
                      </w:rPr>
                      <w:t>N°</w:t>
                    </w:r>
                    <w:proofErr w:type="spellEnd"/>
                    <w:r>
                      <w:rPr>
                        <w:rFonts w:ascii="Verdana" w:eastAsia="Verdana" w:hAnsi="Verdana" w:cs="Verdana"/>
                        <w:i w:val="0"/>
                        <w:color w:val="000000"/>
                        <w:sz w:val="18"/>
                      </w:rPr>
                      <w:t xml:space="preserve"> 60-50 Piso 8 Centro Empresarial Gran Estación</w:t>
                    </w:r>
                  </w:p>
                  <w:p w14:paraId="06CBA06A" w14:textId="77777777" w:rsidR="003E4DD2" w:rsidRDefault="009E07EE">
                    <w:pPr>
                      <w:spacing w:line="275" w:lineRule="auto"/>
                      <w:jc w:val="both"/>
                      <w:textDirection w:val="btLr"/>
                    </w:pPr>
                    <w:r>
                      <w:rPr>
                        <w:rFonts w:ascii="Verdana" w:eastAsia="Verdana" w:hAnsi="Verdana" w:cs="Verdana"/>
                        <w:i w:val="0"/>
                        <w:color w:val="000000"/>
                        <w:sz w:val="18"/>
                      </w:rPr>
                      <w:t>PBX: (+57) (601)7 560 557</w:t>
                    </w:r>
                  </w:p>
                  <w:p w14:paraId="4CD5A606" w14:textId="77777777" w:rsidR="003E4DD2" w:rsidRDefault="009E07EE">
                    <w:pPr>
                      <w:spacing w:line="275" w:lineRule="auto"/>
                      <w:jc w:val="both"/>
                      <w:textDirection w:val="btLr"/>
                    </w:pPr>
                    <w:r>
                      <w:rPr>
                        <w:rFonts w:ascii="Verdana" w:eastAsia="Verdana" w:hAnsi="Verdana" w:cs="Verdana"/>
                        <w:i w:val="0"/>
                        <w:color w:val="000000"/>
                        <w:sz w:val="18"/>
                      </w:rPr>
                      <w:t>Línea Gratis: 018000-180-430</w:t>
                    </w:r>
                  </w:p>
                </w:txbxContent>
              </v:textbox>
              <w10:wrap type="square"/>
            </v:rect>
          </w:pict>
        </mc:Fallback>
      </mc:AlternateContent>
    </w:r>
  </w:p>
  <w:p w14:paraId="2230E442" w14:textId="77777777" w:rsidR="003E4DD2" w:rsidRDefault="003E4DD2">
    <w:pPr>
      <w:pBdr>
        <w:top w:val="nil"/>
        <w:left w:val="nil"/>
        <w:bottom w:val="nil"/>
        <w:right w:val="nil"/>
        <w:between w:val="nil"/>
      </w:pBdr>
      <w:tabs>
        <w:tab w:val="center" w:pos="4419"/>
        <w:tab w:val="right" w:pos="8838"/>
      </w:tabs>
      <w:rPr>
        <w:color w:val="000000"/>
      </w:rPr>
    </w:pPr>
  </w:p>
  <w:p w14:paraId="48B177BE" w14:textId="77777777" w:rsidR="003E4DD2" w:rsidRDefault="003E4DD2">
    <w:pPr>
      <w:pBdr>
        <w:top w:val="nil"/>
        <w:left w:val="nil"/>
        <w:bottom w:val="nil"/>
        <w:right w:val="nil"/>
        <w:between w:val="nil"/>
      </w:pBdr>
      <w:tabs>
        <w:tab w:val="center" w:pos="4419"/>
        <w:tab w:val="right" w:pos="8838"/>
      </w:tabs>
      <w:rPr>
        <w:color w:val="000000"/>
      </w:rPr>
    </w:pPr>
  </w:p>
  <w:p w14:paraId="5B4B7D9A" w14:textId="77777777" w:rsidR="003E4DD2" w:rsidRDefault="003E4DD2">
    <w:pPr>
      <w:pBdr>
        <w:top w:val="nil"/>
        <w:left w:val="nil"/>
        <w:bottom w:val="nil"/>
        <w:right w:val="nil"/>
        <w:between w:val="nil"/>
      </w:pBdr>
      <w:tabs>
        <w:tab w:val="center" w:pos="4419"/>
        <w:tab w:val="right" w:pos="8838"/>
      </w:tabs>
      <w:rPr>
        <w:color w:val="000000"/>
      </w:rPr>
    </w:pPr>
  </w:p>
  <w:p w14:paraId="7A1E6504" w14:textId="77777777" w:rsidR="003E4DD2" w:rsidRDefault="003E4DD2">
    <w:pPr>
      <w:pBdr>
        <w:top w:val="nil"/>
        <w:left w:val="nil"/>
        <w:bottom w:val="nil"/>
        <w:right w:val="nil"/>
        <w:between w:val="nil"/>
      </w:pBdr>
      <w:tabs>
        <w:tab w:val="center" w:pos="4419"/>
        <w:tab w:val="right" w:pos="8838"/>
      </w:tabs>
      <w:rPr>
        <w:color w:val="000000"/>
      </w:rPr>
    </w:pPr>
  </w:p>
  <w:p w14:paraId="7B16561E" w14:textId="77777777" w:rsidR="003E4DD2" w:rsidRDefault="003E4DD2">
    <w:pPr>
      <w:pBdr>
        <w:top w:val="nil"/>
        <w:left w:val="nil"/>
        <w:bottom w:val="nil"/>
        <w:right w:val="nil"/>
        <w:between w:val="nil"/>
      </w:pBdr>
      <w:tabs>
        <w:tab w:val="center" w:pos="4419"/>
        <w:tab w:val="right" w:pos="8838"/>
      </w:tabs>
      <w:rPr>
        <w:color w:val="000000"/>
      </w:rPr>
    </w:pPr>
  </w:p>
  <w:p w14:paraId="22F2ACEB" w14:textId="77777777" w:rsidR="003E4DD2" w:rsidRDefault="003E4DD2">
    <w:pPr>
      <w:pBdr>
        <w:top w:val="nil"/>
        <w:left w:val="nil"/>
        <w:bottom w:val="nil"/>
        <w:right w:val="nil"/>
        <w:between w:val="nil"/>
      </w:pBdr>
      <w:tabs>
        <w:tab w:val="center" w:pos="4419"/>
        <w:tab w:val="right" w:pos="8838"/>
      </w:tabs>
      <w:rPr>
        <w:color w:val="000000"/>
      </w:rPr>
    </w:pPr>
  </w:p>
  <w:p w14:paraId="52E07C20" w14:textId="77777777" w:rsidR="003E4DD2" w:rsidRDefault="003E4DD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79BE" w14:textId="77777777" w:rsidR="003E4DD2" w:rsidRDefault="009E07EE">
    <w:pPr>
      <w:pBdr>
        <w:top w:val="nil"/>
        <w:left w:val="nil"/>
        <w:bottom w:val="nil"/>
        <w:right w:val="nil"/>
        <w:between w:val="nil"/>
      </w:pBdr>
      <w:tabs>
        <w:tab w:val="center" w:pos="4419"/>
        <w:tab w:val="right" w:pos="8838"/>
        <w:tab w:val="center" w:pos="993"/>
      </w:tabs>
      <w:ind w:left="-1701"/>
      <w:rPr>
        <w:b/>
        <w:i w:val="0"/>
        <w:color w:val="000000"/>
        <w:sz w:val="14"/>
        <w:szCs w:val="14"/>
      </w:rPr>
    </w:pPr>
    <w:r>
      <w:rPr>
        <w:noProof/>
      </w:rPr>
      <mc:AlternateContent>
        <mc:Choice Requires="wps">
          <w:drawing>
            <wp:anchor distT="0" distB="0" distL="114300" distR="114300" simplePos="0" relativeHeight="251662336" behindDoc="0" locked="0" layoutInCell="1" hidden="0" allowOverlap="1" wp14:anchorId="7CAF8A10" wp14:editId="755082EB">
              <wp:simplePos x="0" y="0"/>
              <wp:positionH relativeFrom="column">
                <wp:posOffset>-876299</wp:posOffset>
              </wp:positionH>
              <wp:positionV relativeFrom="paragraph">
                <wp:posOffset>50800</wp:posOffset>
              </wp:positionV>
              <wp:extent cx="5400675" cy="1239520"/>
              <wp:effectExtent l="0" t="0" r="0" b="0"/>
              <wp:wrapSquare wrapText="bothSides" distT="0" distB="0" distL="114300" distR="114300"/>
              <wp:docPr id="29" name="Rectángulo 29"/>
              <wp:cNvGraphicFramePr/>
              <a:graphic xmlns:a="http://schemas.openxmlformats.org/drawingml/2006/main">
                <a:graphicData uri="http://schemas.microsoft.com/office/word/2010/wordprocessingShape">
                  <wps:wsp>
                    <wps:cNvSpPr/>
                    <wps:spPr>
                      <a:xfrm>
                        <a:off x="2650425" y="3165003"/>
                        <a:ext cx="5391150" cy="1229995"/>
                      </a:xfrm>
                      <a:prstGeom prst="rect">
                        <a:avLst/>
                      </a:prstGeom>
                      <a:noFill/>
                      <a:ln>
                        <a:noFill/>
                      </a:ln>
                    </wps:spPr>
                    <wps:txbx>
                      <w:txbxContent>
                        <w:p w14:paraId="63696105" w14:textId="77777777" w:rsidR="003E4DD2" w:rsidRDefault="009E07EE">
                          <w:pPr>
                            <w:spacing w:line="275" w:lineRule="auto"/>
                            <w:jc w:val="both"/>
                            <w:textDirection w:val="btLr"/>
                          </w:pPr>
                          <w:r>
                            <w:rPr>
                              <w:rFonts w:ascii="Verdana" w:eastAsia="Verdana" w:hAnsi="Verdana" w:cs="Verdana"/>
                              <w:color w:val="000000"/>
                              <w:sz w:val="18"/>
                            </w:rPr>
                            <w:t>______________________________________________________________________</w:t>
                          </w:r>
                        </w:p>
                        <w:p w14:paraId="5CBBEE55" w14:textId="77777777" w:rsidR="003E4DD2" w:rsidRDefault="009E07EE">
                          <w:pPr>
                            <w:spacing w:line="275" w:lineRule="auto"/>
                            <w:jc w:val="both"/>
                            <w:textDirection w:val="btLr"/>
                          </w:pPr>
                          <w:r>
                            <w:rPr>
                              <w:rFonts w:ascii="Verdana" w:eastAsia="Verdana" w:hAnsi="Verdana" w:cs="Verdana"/>
                              <w:b/>
                              <w:i w:val="0"/>
                              <w:color w:val="000000"/>
                              <w:sz w:val="18"/>
                            </w:rPr>
                            <w:t>Superintendencia de la Economía Solidaria</w:t>
                          </w:r>
                        </w:p>
                        <w:p w14:paraId="30B313D6" w14:textId="77777777" w:rsidR="003E4DD2" w:rsidRDefault="009E07EE">
                          <w:pPr>
                            <w:spacing w:line="275" w:lineRule="auto"/>
                            <w:jc w:val="both"/>
                            <w:textDirection w:val="btLr"/>
                          </w:pPr>
                          <w:r>
                            <w:rPr>
                              <w:rFonts w:ascii="Verdana" w:eastAsia="Verdana" w:hAnsi="Verdana" w:cs="Verdana"/>
                              <w:i w:val="0"/>
                              <w:color w:val="000000"/>
                              <w:sz w:val="18"/>
                            </w:rPr>
                            <w:t>Avenida Calle 24 (Esperanza) N° 60-50 Piso 8 Centro Empresarial Gran Estación</w:t>
                          </w:r>
                        </w:p>
                        <w:p w14:paraId="610CD43A" w14:textId="77777777" w:rsidR="003E4DD2" w:rsidRDefault="009E07EE">
                          <w:pPr>
                            <w:spacing w:line="275" w:lineRule="auto"/>
                            <w:jc w:val="both"/>
                            <w:textDirection w:val="btLr"/>
                          </w:pPr>
                          <w:r>
                            <w:rPr>
                              <w:rFonts w:ascii="Verdana" w:eastAsia="Verdana" w:hAnsi="Verdana" w:cs="Verdana"/>
                              <w:i w:val="0"/>
                              <w:color w:val="000000"/>
                              <w:sz w:val="18"/>
                            </w:rPr>
                            <w:t>PBX: (+57) (601)7 560 557</w:t>
                          </w:r>
                        </w:p>
                        <w:p w14:paraId="4436ACF5" w14:textId="77777777" w:rsidR="003E4DD2" w:rsidRDefault="009E07EE">
                          <w:pPr>
                            <w:spacing w:line="275" w:lineRule="auto"/>
                            <w:jc w:val="both"/>
                            <w:textDirection w:val="btLr"/>
                          </w:pPr>
                          <w:r>
                            <w:rPr>
                              <w:rFonts w:ascii="Verdana" w:eastAsia="Verdana" w:hAnsi="Verdana" w:cs="Verdana"/>
                              <w:i w:val="0"/>
                              <w:color w:val="000000"/>
                              <w:sz w:val="18"/>
                            </w:rPr>
                            <w:t>Línea Gratis: 018000-180-430</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CAF8A10" id="Rectángulo 29" o:spid="_x0000_s1027" style="position:absolute;left:0;text-align:left;margin-left:-69pt;margin-top:4pt;width:425.25pt;height:9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" filled="f" stroked="f">
              <v:textbox inset="2.53958mm,1.2694mm,2.53958mm,1.2694mm">
                <w:txbxContent>
                  <w:p w14:paraId="63696105" w14:textId="77777777" w:rsidR="003E4DD2" w:rsidRDefault="009E07EE">
                    <w:pPr>
                      <w:spacing w:line="275" w:lineRule="auto"/>
                      <w:jc w:val="both"/>
                      <w:textDirection w:val="btLr"/>
                    </w:pPr>
                    <w:r>
                      <w:rPr>
                        <w:rFonts w:ascii="Verdana" w:eastAsia="Verdana" w:hAnsi="Verdana" w:cs="Verdana"/>
                        <w:color w:val="000000"/>
                        <w:sz w:val="18"/>
                      </w:rPr>
                      <w:t>______________________________________________________________________</w:t>
                    </w:r>
                  </w:p>
                  <w:p w14:paraId="5CBBEE55" w14:textId="77777777" w:rsidR="003E4DD2" w:rsidRDefault="009E07EE">
                    <w:pPr>
                      <w:spacing w:line="275" w:lineRule="auto"/>
                      <w:jc w:val="both"/>
                      <w:textDirection w:val="btLr"/>
                    </w:pPr>
                    <w:r>
                      <w:rPr>
                        <w:rFonts w:ascii="Verdana" w:eastAsia="Verdana" w:hAnsi="Verdana" w:cs="Verdana"/>
                        <w:b/>
                        <w:i w:val="0"/>
                        <w:color w:val="000000"/>
                        <w:sz w:val="18"/>
                      </w:rPr>
                      <w:t>Superintendencia de la Economía Solidaria</w:t>
                    </w:r>
                  </w:p>
                  <w:p w14:paraId="30B313D6" w14:textId="77777777" w:rsidR="003E4DD2" w:rsidRDefault="009E07EE">
                    <w:pPr>
                      <w:spacing w:line="275" w:lineRule="auto"/>
                      <w:jc w:val="both"/>
                      <w:textDirection w:val="btLr"/>
                    </w:pPr>
                    <w:r>
                      <w:rPr>
                        <w:rFonts w:ascii="Verdana" w:eastAsia="Verdana" w:hAnsi="Verdana" w:cs="Verdana"/>
                        <w:i w:val="0"/>
                        <w:color w:val="000000"/>
                        <w:sz w:val="18"/>
                      </w:rPr>
                      <w:t xml:space="preserve">Avenida Calle 24 (Esperanza) </w:t>
                    </w:r>
                    <w:proofErr w:type="spellStart"/>
                    <w:r>
                      <w:rPr>
                        <w:rFonts w:ascii="Verdana" w:eastAsia="Verdana" w:hAnsi="Verdana" w:cs="Verdana"/>
                        <w:i w:val="0"/>
                        <w:color w:val="000000"/>
                        <w:sz w:val="18"/>
                      </w:rPr>
                      <w:t>N°</w:t>
                    </w:r>
                    <w:proofErr w:type="spellEnd"/>
                    <w:r>
                      <w:rPr>
                        <w:rFonts w:ascii="Verdana" w:eastAsia="Verdana" w:hAnsi="Verdana" w:cs="Verdana"/>
                        <w:i w:val="0"/>
                        <w:color w:val="000000"/>
                        <w:sz w:val="18"/>
                      </w:rPr>
                      <w:t xml:space="preserve"> 60-50 Piso 8 Centro Empresarial Gran Estación</w:t>
                    </w:r>
                  </w:p>
                  <w:p w14:paraId="610CD43A" w14:textId="77777777" w:rsidR="003E4DD2" w:rsidRDefault="009E07EE">
                    <w:pPr>
                      <w:spacing w:line="275" w:lineRule="auto"/>
                      <w:jc w:val="both"/>
                      <w:textDirection w:val="btLr"/>
                    </w:pPr>
                    <w:r>
                      <w:rPr>
                        <w:rFonts w:ascii="Verdana" w:eastAsia="Verdana" w:hAnsi="Verdana" w:cs="Verdana"/>
                        <w:i w:val="0"/>
                        <w:color w:val="000000"/>
                        <w:sz w:val="18"/>
                      </w:rPr>
                      <w:t>PBX: (+57) (601)7 560 557</w:t>
                    </w:r>
                  </w:p>
                  <w:p w14:paraId="4436ACF5" w14:textId="77777777" w:rsidR="003E4DD2" w:rsidRDefault="009E07EE">
                    <w:pPr>
                      <w:spacing w:line="275" w:lineRule="auto"/>
                      <w:jc w:val="both"/>
                      <w:textDirection w:val="btLr"/>
                    </w:pPr>
                    <w:r>
                      <w:rPr>
                        <w:rFonts w:ascii="Verdana" w:eastAsia="Verdana" w:hAnsi="Verdana" w:cs="Verdana"/>
                        <w:i w:val="0"/>
                        <w:color w:val="000000"/>
                        <w:sz w:val="18"/>
                      </w:rPr>
                      <w:t>Línea Gratis: 018000-180-430</w:t>
                    </w:r>
                  </w:p>
                </w:txbxContent>
              </v:textbox>
              <w10:wrap type="square"/>
            </v:rect>
          </w:pict>
        </mc:Fallback>
      </mc:AlternateContent>
    </w:r>
  </w:p>
  <w:p w14:paraId="60596B01"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616ADE4D"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5BDF211D"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1A063A04"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7BEC752E"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39585BB9"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0DC3A559"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25AAF258"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2A1FD77D"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229A8EC2"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1E6372BC" w14:textId="77777777" w:rsidR="003E4DD2" w:rsidRDefault="009E07EE">
    <w:pPr>
      <w:pBdr>
        <w:top w:val="nil"/>
        <w:left w:val="nil"/>
        <w:bottom w:val="nil"/>
        <w:right w:val="nil"/>
        <w:between w:val="nil"/>
      </w:pBdr>
      <w:tabs>
        <w:tab w:val="center" w:pos="4419"/>
        <w:tab w:val="right" w:pos="8838"/>
        <w:tab w:val="center" w:pos="993"/>
      </w:tabs>
      <w:ind w:left="-1701"/>
      <w:rPr>
        <w:b/>
        <w:i w:val="0"/>
        <w:color w:val="000000"/>
        <w:sz w:val="14"/>
        <w:szCs w:val="14"/>
      </w:rPr>
    </w:pPr>
    <w:r>
      <w:rPr>
        <w:noProof/>
      </w:rPr>
      <mc:AlternateContent>
        <mc:Choice Requires="wps">
          <w:drawing>
            <wp:anchor distT="0" distB="0" distL="114300" distR="114300" simplePos="0" relativeHeight="251663360" behindDoc="0" locked="0" layoutInCell="1" hidden="0" allowOverlap="1" wp14:anchorId="2CBB5BFF" wp14:editId="2AC50B66">
              <wp:simplePos x="0" y="0"/>
              <wp:positionH relativeFrom="column">
                <wp:posOffset>901700</wp:posOffset>
              </wp:positionH>
              <wp:positionV relativeFrom="paragraph">
                <wp:posOffset>381000</wp:posOffset>
              </wp:positionV>
              <wp:extent cx="6107675" cy="693834"/>
              <wp:effectExtent l="0" t="0" r="0" b="0"/>
              <wp:wrapNone/>
              <wp:docPr id="26" name="Rectángulo 26"/>
              <wp:cNvGraphicFramePr/>
              <a:graphic xmlns:a="http://schemas.openxmlformats.org/drawingml/2006/main">
                <a:graphicData uri="http://schemas.microsoft.com/office/word/2010/wordprocessingShape">
                  <wps:wsp>
                    <wps:cNvSpPr/>
                    <wps:spPr>
                      <a:xfrm>
                        <a:off x="2296925" y="3437846"/>
                        <a:ext cx="6098150" cy="684309"/>
                      </a:xfrm>
                      <a:prstGeom prst="rect">
                        <a:avLst/>
                      </a:prstGeom>
                      <a:noFill/>
                      <a:ln>
                        <a:noFill/>
                      </a:ln>
                    </wps:spPr>
                    <wps:txbx>
                      <w:txbxContent>
                        <w:p w14:paraId="154FA4F9" w14:textId="77777777" w:rsidR="003E4DD2" w:rsidRDefault="009E07EE">
                          <w:pPr>
                            <w:ind w:left="-3407" w:right="170"/>
                            <w:jc w:val="center"/>
                            <w:textDirection w:val="btLr"/>
                          </w:pPr>
                          <w:r>
                            <w:rPr>
                              <w:i w:val="0"/>
                              <w:color w:val="000000"/>
                              <w:sz w:val="15"/>
                            </w:rPr>
                            <w:t>Carrera 7 No. 31-10 Piso 11. PBX (1) 7 560 557.  Línea Gratuita 018000 180 430</w:t>
                          </w:r>
                          <w:r>
                            <w:rPr>
                              <w:i w:val="0"/>
                              <w:color w:val="000000"/>
                              <w:sz w:val="6"/>
                            </w:rPr>
                            <w:br/>
                          </w:r>
                          <w:r>
                            <w:rPr>
                              <w:i w:val="0"/>
                              <w:color w:val="000000"/>
                              <w:sz w:val="15"/>
                            </w:rPr>
                            <w:t>www.supersolidaria.gov.co</w:t>
                          </w:r>
                        </w:p>
                        <w:p w14:paraId="2B78AF77" w14:textId="77777777" w:rsidR="003E4DD2" w:rsidRDefault="009E07EE">
                          <w:pPr>
                            <w:ind w:left="-3407" w:right="170"/>
                            <w:jc w:val="center"/>
                            <w:textDirection w:val="btLr"/>
                          </w:pPr>
                          <w:r>
                            <w:rPr>
                              <w:i w:val="0"/>
                              <w:color w:val="000000"/>
                              <w:sz w:val="15"/>
                            </w:rPr>
                            <w:t>NIT: 830.053.043 5 Bogotá D.C., Colombia</w:t>
                          </w:r>
                        </w:p>
                        <w:p w14:paraId="4FF02063" w14:textId="77777777" w:rsidR="003E4DD2" w:rsidRDefault="003E4DD2">
                          <w:pPr>
                            <w:ind w:left="-3407" w:hanging="3407"/>
                            <w:jc w:val="center"/>
                            <w:textDirection w:val="btLr"/>
                          </w:pPr>
                        </w:p>
                      </w:txbxContent>
                    </wps:txbx>
                    <wps:bodyPr spcFirstLastPara="1" wrap="square" lIns="91425" tIns="45700" rIns="91425" bIns="45700" anchor="ctr"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CBB5BFF" id="Rectángulo 26" o:spid="_x0000_s1028" style="position:absolute;left:0;text-align:left;margin-left:71pt;margin-top:30pt;width:480.9pt;height:5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" filled="f" stroked="f">
              <v:textbox inset="2.53958mm,1.2694mm,2.53958mm,1.2694mm">
                <w:txbxContent>
                  <w:p w14:paraId="154FA4F9" w14:textId="77777777" w:rsidR="003E4DD2" w:rsidRDefault="009E07EE">
                    <w:pPr>
                      <w:ind w:left="-3407" w:right="170"/>
                      <w:jc w:val="center"/>
                      <w:textDirection w:val="btLr"/>
                    </w:pPr>
                    <w:r>
                      <w:rPr>
                        <w:i w:val="0"/>
                        <w:color w:val="000000"/>
                        <w:sz w:val="15"/>
                      </w:rPr>
                      <w:t>Carrera 7 No. 31-10 Piso 11. PBX (1) 7 560 557.  Línea Gratuita 018000 180 430</w:t>
                    </w:r>
                    <w:r>
                      <w:rPr>
                        <w:i w:val="0"/>
                        <w:color w:val="000000"/>
                        <w:sz w:val="6"/>
                      </w:rPr>
                      <w:br/>
                    </w:r>
                    <w:r>
                      <w:rPr>
                        <w:i w:val="0"/>
                        <w:color w:val="000000"/>
                        <w:sz w:val="15"/>
                      </w:rPr>
                      <w:t>www.supersolidaria.gov.co</w:t>
                    </w:r>
                  </w:p>
                  <w:p w14:paraId="2B78AF77" w14:textId="77777777" w:rsidR="003E4DD2" w:rsidRDefault="009E07EE">
                    <w:pPr>
                      <w:ind w:left="-3407" w:right="170"/>
                      <w:jc w:val="center"/>
                      <w:textDirection w:val="btLr"/>
                    </w:pPr>
                    <w:r>
                      <w:rPr>
                        <w:i w:val="0"/>
                        <w:color w:val="000000"/>
                        <w:sz w:val="15"/>
                      </w:rPr>
                      <w:t>NIT: 830.053.043 5 Bogotá D.C., Colombia</w:t>
                    </w:r>
                  </w:p>
                  <w:p w14:paraId="4FF02063" w14:textId="77777777" w:rsidR="003E4DD2" w:rsidRDefault="003E4DD2">
                    <w:pPr>
                      <w:ind w:left="-3407" w:hanging="3407"/>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B45D" w14:textId="77777777" w:rsidR="002A2772" w:rsidRDefault="002A2772">
      <w:r>
        <w:separator/>
      </w:r>
    </w:p>
  </w:footnote>
  <w:footnote w:type="continuationSeparator" w:id="0">
    <w:p w14:paraId="1131F0D9" w14:textId="77777777" w:rsidR="002A2772" w:rsidRDefault="002A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6F5C" w14:textId="77777777" w:rsidR="00EB227A" w:rsidRDefault="00EB22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A671" w14:textId="77777777" w:rsidR="003E4DD2" w:rsidRDefault="003E4DD2">
    <w:pPr>
      <w:pBdr>
        <w:top w:val="nil"/>
        <w:left w:val="nil"/>
        <w:bottom w:val="nil"/>
        <w:right w:val="nil"/>
        <w:between w:val="nil"/>
      </w:pBdr>
      <w:tabs>
        <w:tab w:val="center" w:pos="4252"/>
        <w:tab w:val="right" w:pos="8504"/>
      </w:tabs>
      <w:ind w:left="-709" w:right="-942"/>
      <w:rPr>
        <w:i w:val="0"/>
        <w:color w:val="000000"/>
      </w:rPr>
    </w:pPr>
  </w:p>
  <w:p w14:paraId="51C21CF5" w14:textId="77777777" w:rsidR="003E4DD2" w:rsidRDefault="009E07EE">
    <w:pPr>
      <w:pBdr>
        <w:top w:val="nil"/>
        <w:left w:val="nil"/>
        <w:bottom w:val="nil"/>
        <w:right w:val="nil"/>
        <w:between w:val="nil"/>
      </w:pBdr>
      <w:tabs>
        <w:tab w:val="center" w:pos="4252"/>
        <w:tab w:val="right" w:pos="8504"/>
      </w:tabs>
      <w:ind w:left="-709" w:right="-942"/>
      <w:rPr>
        <w:i w:val="0"/>
        <w:color w:val="000000"/>
      </w:rPr>
    </w:pPr>
    <w:r>
      <w:rPr>
        <w:noProof/>
      </w:rPr>
      <w:drawing>
        <wp:anchor distT="0" distB="0" distL="114300" distR="114300" simplePos="0" relativeHeight="251658240" behindDoc="0" locked="0" layoutInCell="1" hidden="0" allowOverlap="1" wp14:anchorId="32AFE502" wp14:editId="20F14D14">
          <wp:simplePos x="0" y="0"/>
          <wp:positionH relativeFrom="column">
            <wp:posOffset>1815464</wp:posOffset>
          </wp:positionH>
          <wp:positionV relativeFrom="paragraph">
            <wp:posOffset>5715</wp:posOffset>
          </wp:positionV>
          <wp:extent cx="2161905" cy="971429"/>
          <wp:effectExtent l="0" t="0" r="0" b="0"/>
          <wp:wrapSquare wrapText="bothSides" distT="0" distB="0" distL="114300" distR="11430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1905" cy="971429"/>
                  </a:xfrm>
                  <a:prstGeom prst="rect">
                    <a:avLst/>
                  </a:prstGeom>
                  <a:ln/>
                </pic:spPr>
              </pic:pic>
            </a:graphicData>
          </a:graphic>
        </wp:anchor>
      </w:drawing>
    </w:r>
  </w:p>
  <w:p w14:paraId="1EDDD007" w14:textId="77777777" w:rsidR="003E4DD2" w:rsidRDefault="003E4DD2">
    <w:pPr>
      <w:pBdr>
        <w:top w:val="nil"/>
        <w:left w:val="nil"/>
        <w:bottom w:val="nil"/>
        <w:right w:val="nil"/>
        <w:between w:val="nil"/>
      </w:pBdr>
      <w:tabs>
        <w:tab w:val="center" w:pos="4252"/>
        <w:tab w:val="right" w:pos="8504"/>
      </w:tabs>
      <w:ind w:left="-709" w:right="-942"/>
      <w:rPr>
        <w:i w:val="0"/>
        <w:color w:val="000000"/>
      </w:rPr>
    </w:pPr>
  </w:p>
  <w:p w14:paraId="3E825B09" w14:textId="77777777" w:rsidR="003E4DD2" w:rsidRDefault="003E4DD2">
    <w:pPr>
      <w:pBdr>
        <w:top w:val="nil"/>
        <w:left w:val="nil"/>
        <w:bottom w:val="nil"/>
        <w:right w:val="nil"/>
        <w:between w:val="nil"/>
      </w:pBdr>
      <w:tabs>
        <w:tab w:val="center" w:pos="4252"/>
        <w:tab w:val="right" w:pos="8504"/>
      </w:tabs>
      <w:ind w:left="-709" w:right="-942"/>
      <w:rPr>
        <w:i w:val="0"/>
        <w:color w:val="000000"/>
      </w:rPr>
    </w:pPr>
  </w:p>
  <w:p w14:paraId="29EB2E7B" w14:textId="77777777" w:rsidR="003E4DD2" w:rsidRDefault="003E4DD2">
    <w:pPr>
      <w:pBdr>
        <w:top w:val="nil"/>
        <w:left w:val="nil"/>
        <w:bottom w:val="nil"/>
        <w:right w:val="nil"/>
        <w:between w:val="nil"/>
      </w:pBdr>
      <w:tabs>
        <w:tab w:val="center" w:pos="4252"/>
        <w:tab w:val="right" w:pos="8504"/>
      </w:tabs>
      <w:ind w:left="-709" w:right="-942"/>
      <w:rPr>
        <w:i w:val="0"/>
        <w:color w:val="000000"/>
      </w:rPr>
    </w:pPr>
  </w:p>
  <w:p w14:paraId="3E62DFBA" w14:textId="77777777" w:rsidR="003E4DD2" w:rsidRDefault="003E4DD2">
    <w:pPr>
      <w:pBdr>
        <w:top w:val="nil"/>
        <w:left w:val="nil"/>
        <w:bottom w:val="nil"/>
        <w:right w:val="nil"/>
        <w:between w:val="nil"/>
      </w:pBdr>
      <w:tabs>
        <w:tab w:val="center" w:pos="4252"/>
        <w:tab w:val="right" w:pos="8504"/>
      </w:tabs>
      <w:ind w:left="-709" w:right="-942"/>
      <w:rPr>
        <w:i w:val="0"/>
        <w:color w:val="000000"/>
      </w:rPr>
    </w:pPr>
  </w:p>
  <w:p w14:paraId="722DC180" w14:textId="77777777" w:rsidR="003E4DD2" w:rsidRDefault="003E4DD2">
    <w:pPr>
      <w:pBdr>
        <w:top w:val="nil"/>
        <w:left w:val="nil"/>
        <w:bottom w:val="nil"/>
        <w:right w:val="nil"/>
        <w:between w:val="nil"/>
      </w:pBdr>
      <w:tabs>
        <w:tab w:val="center" w:pos="4252"/>
        <w:tab w:val="right" w:pos="8504"/>
      </w:tabs>
      <w:ind w:left="-709" w:right="-942"/>
      <w:rPr>
        <w:i w:val="0"/>
        <w:color w:val="000000"/>
      </w:rPr>
    </w:pPr>
  </w:p>
  <w:p w14:paraId="60655105" w14:textId="77777777" w:rsidR="003E4DD2" w:rsidRDefault="009E07EE">
    <w:pPr>
      <w:pBdr>
        <w:top w:val="nil"/>
        <w:left w:val="nil"/>
        <w:bottom w:val="nil"/>
        <w:right w:val="nil"/>
        <w:between w:val="nil"/>
      </w:pBdr>
      <w:tabs>
        <w:tab w:val="center" w:pos="4252"/>
        <w:tab w:val="right" w:pos="8504"/>
      </w:tabs>
      <w:ind w:left="-709" w:right="-942"/>
      <w:rPr>
        <w:i w:val="0"/>
        <w:color w:val="000000"/>
      </w:rPr>
    </w:pPr>
    <w:r>
      <w:rPr>
        <w:i w:val="0"/>
        <w:color w:val="000000"/>
      </w:rPr>
      <w:t xml:space="preserve">                                                                     </w:t>
    </w:r>
  </w:p>
  <w:p w14:paraId="29E22108" w14:textId="77777777" w:rsidR="003E4DD2" w:rsidRDefault="009E07EE">
    <w:pPr>
      <w:ind w:right="-59"/>
      <w:rPr>
        <w:sz w:val="18"/>
        <w:szCs w:val="18"/>
      </w:rPr>
    </w:pPr>
    <w:bookmarkStart w:id="6" w:name="bookmark=id.a0wbgplmk84g" w:colFirst="0" w:colLast="0"/>
    <w:bookmarkEnd w:id="6"/>
    <w:r>
      <w:rPr>
        <w:sz w:val="18"/>
        <w:szCs w:val="18"/>
      </w:rPr>
      <w:t xml:space="preserve">   </w:t>
    </w:r>
    <w:r>
      <w:rPr>
        <w:sz w:val="18"/>
        <w:szCs w:val="18"/>
      </w:rPr>
      <w:t xml:space="preserve">- Circular Externa No. </w:t>
    </w:r>
    <w:bookmarkStart w:id="7" w:name="bookmark=id.beam68tc5bsq" w:colFirst="0" w:colLast="0"/>
    <w:bookmarkEnd w:id="7"/>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Página </w:t>
    </w:r>
    <w:r>
      <w:rPr>
        <w:sz w:val="18"/>
        <w:szCs w:val="18"/>
      </w:rPr>
      <w:fldChar w:fldCharType="begin"/>
    </w:r>
    <w:r>
      <w:rPr>
        <w:sz w:val="18"/>
        <w:szCs w:val="18"/>
      </w:rPr>
      <w:instrText>PAGE</w:instrText>
    </w:r>
    <w:r>
      <w:rPr>
        <w:sz w:val="18"/>
        <w:szCs w:val="18"/>
      </w:rPr>
      <w:fldChar w:fldCharType="separate"/>
    </w:r>
    <w:r w:rsidR="00180683">
      <w:rPr>
        <w:noProof/>
        <w:sz w:val="18"/>
        <w:szCs w:val="18"/>
      </w:rPr>
      <w:t>2</w:t>
    </w:r>
    <w:r>
      <w:rPr>
        <w:sz w:val="18"/>
        <w:szCs w:val="18"/>
      </w:rPr>
      <w:fldChar w:fldCharType="end"/>
    </w:r>
    <w:r>
      <w:rPr>
        <w:sz w:val="18"/>
        <w:szCs w:val="18"/>
      </w:rPr>
      <w:t xml:space="preserve"> de </w:t>
    </w:r>
    <w:r>
      <w:rPr>
        <w:sz w:val="18"/>
        <w:szCs w:val="18"/>
      </w:rPr>
      <w:fldChar w:fldCharType="begin"/>
    </w:r>
    <w:r>
      <w:rPr>
        <w:sz w:val="18"/>
        <w:szCs w:val="18"/>
      </w:rPr>
      <w:instrText>NUMPAGES</w:instrText>
    </w:r>
    <w:r>
      <w:rPr>
        <w:sz w:val="18"/>
        <w:szCs w:val="18"/>
      </w:rPr>
      <w:fldChar w:fldCharType="separate"/>
    </w:r>
    <w:r w:rsidR="00180683">
      <w:rPr>
        <w:noProof/>
        <w:sz w:val="18"/>
        <w:szCs w:val="18"/>
      </w:rPr>
      <w:t>3</w:t>
    </w:r>
    <w:r>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FB33" w14:textId="77777777" w:rsidR="003E4DD2" w:rsidRDefault="009E07EE">
    <w:pPr>
      <w:pBdr>
        <w:top w:val="nil"/>
        <w:left w:val="nil"/>
        <w:bottom w:val="nil"/>
        <w:right w:val="nil"/>
        <w:between w:val="nil"/>
      </w:pBdr>
      <w:tabs>
        <w:tab w:val="center" w:pos="4252"/>
        <w:tab w:val="right" w:pos="8504"/>
      </w:tabs>
      <w:ind w:left="-1701" w:right="-942"/>
      <w:rPr>
        <w:i w:val="0"/>
        <w:color w:val="000000"/>
      </w:rPr>
    </w:pPr>
    <w:r>
      <w:rPr>
        <w:i w:val="0"/>
        <w:color w:val="000000"/>
      </w:rPr>
      <w:t xml:space="preserve">                                                                         </w:t>
    </w:r>
  </w:p>
  <w:p w14:paraId="5E6CBF6C" w14:textId="77777777" w:rsidR="003E4DD2" w:rsidRDefault="003E4DD2">
    <w:pPr>
      <w:pStyle w:val="Ttulo1"/>
      <w:rPr>
        <w:sz w:val="22"/>
        <w:szCs w:val="22"/>
      </w:rPr>
    </w:pPr>
  </w:p>
  <w:p w14:paraId="0CF881A8" w14:textId="77777777" w:rsidR="003E4DD2" w:rsidRDefault="003E4DD2"/>
  <w:p w14:paraId="3492C154" w14:textId="77777777" w:rsidR="003E4DD2" w:rsidRDefault="009E07EE">
    <w:r>
      <w:rPr>
        <w:noProof/>
      </w:rPr>
      <w:drawing>
        <wp:anchor distT="0" distB="0" distL="114300" distR="114300" simplePos="0" relativeHeight="251659264" behindDoc="0" locked="0" layoutInCell="1" hidden="0" allowOverlap="1" wp14:anchorId="32145D0C" wp14:editId="52425B6B">
          <wp:simplePos x="0" y="0"/>
          <wp:positionH relativeFrom="column">
            <wp:posOffset>1815464</wp:posOffset>
          </wp:positionH>
          <wp:positionV relativeFrom="paragraph">
            <wp:posOffset>155575</wp:posOffset>
          </wp:positionV>
          <wp:extent cx="2161540" cy="970915"/>
          <wp:effectExtent l="0" t="0" r="0" b="0"/>
          <wp:wrapSquare wrapText="bothSides" distT="0" distB="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1540" cy="970915"/>
                  </a:xfrm>
                  <a:prstGeom prst="rect">
                    <a:avLst/>
                  </a:prstGeom>
                  <a:ln/>
                </pic:spPr>
              </pic:pic>
            </a:graphicData>
          </a:graphic>
        </wp:anchor>
      </w:drawing>
    </w:r>
  </w:p>
  <w:p w14:paraId="7D0F8F4D" w14:textId="77777777" w:rsidR="003E4DD2" w:rsidRDefault="003E4DD2"/>
  <w:p w14:paraId="58F96A5E" w14:textId="77777777" w:rsidR="003E4DD2" w:rsidRDefault="003E4DD2"/>
  <w:p w14:paraId="7372797A" w14:textId="77777777" w:rsidR="003E4DD2" w:rsidRDefault="003E4DD2"/>
  <w:p w14:paraId="09AB3BA7" w14:textId="77777777" w:rsidR="003E4DD2" w:rsidRDefault="003E4DD2"/>
  <w:p w14:paraId="091C32BD" w14:textId="77777777" w:rsidR="003E4DD2" w:rsidRDefault="003E4DD2"/>
  <w:p w14:paraId="19D33190" w14:textId="77777777" w:rsidR="003E4DD2" w:rsidRDefault="003E4DD2"/>
  <w:p w14:paraId="56211DEE" w14:textId="77777777" w:rsidR="003E4DD2" w:rsidRDefault="003E4DD2">
    <w:pPr>
      <w:rPr>
        <w:rFonts w:ascii="Verdana" w:eastAsia="Verdana" w:hAnsi="Verdana" w:cs="Verdana"/>
      </w:rPr>
    </w:pPr>
  </w:p>
  <w:p w14:paraId="4F860B47" w14:textId="77777777" w:rsidR="003E4DD2" w:rsidRDefault="003E4DD2">
    <w:pPr>
      <w:rPr>
        <w:rFonts w:ascii="Verdana" w:eastAsia="Verdana" w:hAnsi="Verdana" w:cs="Verdana"/>
      </w:rPr>
    </w:pPr>
  </w:p>
  <w:p w14:paraId="646B7822" w14:textId="77777777" w:rsidR="003E4DD2" w:rsidRDefault="009E07EE">
    <w:pPr>
      <w:pStyle w:val="Ttulo1"/>
      <w:jc w:val="center"/>
      <w:rPr>
        <w:rFonts w:ascii="Verdana" w:eastAsia="Verdana" w:hAnsi="Verdana" w:cs="Verdana"/>
        <w:sz w:val="28"/>
        <w:szCs w:val="28"/>
      </w:rPr>
    </w:pPr>
    <w:r>
      <w:rPr>
        <w:rFonts w:ascii="Verdana" w:eastAsia="Verdana" w:hAnsi="Verdana" w:cs="Verdana"/>
        <w:sz w:val="28"/>
        <w:szCs w:val="28"/>
      </w:rPr>
      <w:t>CIRCULAR EXTERNA No.</w:t>
    </w:r>
    <w:r>
      <w:rPr>
        <w:rFonts w:ascii="Verdana" w:eastAsia="Verdana" w:hAnsi="Verdana" w:cs="Verdana"/>
      </w:rPr>
      <w:t xml:space="preserve"> </w:t>
    </w:r>
    <w:r>
      <w:rPr>
        <w:rFonts w:ascii="Verdana" w:eastAsia="Verdana" w:hAnsi="Verdana" w:cs="Verdana"/>
        <w:sz w:val="28"/>
        <w:szCs w:val="28"/>
      </w:rPr>
      <w:t xml:space="preserve"> </w:t>
    </w:r>
    <w:bookmarkStart w:id="8" w:name="bookmark=id.ary2r6nxvmxh" w:colFirst="0" w:colLast="0"/>
    <w:bookmarkEnd w:id="8"/>
    <w:r>
      <w:rPr>
        <w:rFonts w:ascii="Verdana" w:eastAsia="Verdana" w:hAnsi="Verdana" w:cs="Verdana"/>
        <w:sz w:val="28"/>
        <w:szCs w:val="28"/>
      </w:rPr>
      <w:t xml:space="preserve">  </w:t>
    </w:r>
  </w:p>
  <w:p w14:paraId="09ECAC49" w14:textId="77777777" w:rsidR="003E4DD2" w:rsidRDefault="003E4DD2">
    <w:pPr>
      <w:rPr>
        <w:b/>
        <w:i w:val="0"/>
        <w:sz w:val="22"/>
        <w:szCs w:val="22"/>
      </w:rPr>
    </w:pPr>
  </w:p>
  <w:p w14:paraId="579A30A1" w14:textId="77777777" w:rsidR="003E4DD2" w:rsidRDefault="003E4DD2">
    <w:pPr>
      <w:rPr>
        <w:rFonts w:ascii="Verdana" w:eastAsia="Verdana" w:hAnsi="Verdana" w:cs="Verdana"/>
        <w:b/>
        <w:i w:val="0"/>
      </w:rPr>
    </w:pPr>
  </w:p>
  <w:tbl>
    <w:tblPr>
      <w:tblStyle w:val="a0"/>
      <w:tblW w:w="9123" w:type="dxa"/>
      <w:tblInd w:w="0" w:type="dxa"/>
      <w:tblLayout w:type="fixed"/>
      <w:tblLook w:val="0000" w:firstRow="0" w:lastRow="0" w:firstColumn="0" w:lastColumn="0" w:noHBand="0" w:noVBand="0"/>
    </w:tblPr>
    <w:tblGrid>
      <w:gridCol w:w="1521"/>
      <w:gridCol w:w="7602"/>
    </w:tblGrid>
    <w:tr w:rsidR="003E4DD2" w14:paraId="2489A099" w14:textId="77777777">
      <w:tc>
        <w:tcPr>
          <w:tcW w:w="1521" w:type="dxa"/>
        </w:tcPr>
        <w:p w14:paraId="51486E99" w14:textId="77777777" w:rsidR="003E4DD2" w:rsidRDefault="009E07EE">
          <w:pPr>
            <w:rPr>
              <w:rFonts w:ascii="Verdana" w:eastAsia="Verdana" w:hAnsi="Verdana" w:cs="Verdana"/>
              <w:b/>
              <w:i w:val="0"/>
            </w:rPr>
          </w:pPr>
          <w:r>
            <w:rPr>
              <w:rFonts w:ascii="Verdana" w:eastAsia="Verdana" w:hAnsi="Verdana" w:cs="Verdana"/>
              <w:b/>
              <w:i w:val="0"/>
              <w:sz w:val="22"/>
              <w:szCs w:val="22"/>
            </w:rPr>
            <w:t>PARA:</w:t>
          </w:r>
        </w:p>
      </w:tc>
      <w:tc>
        <w:tcPr>
          <w:tcW w:w="7602" w:type="dxa"/>
        </w:tcPr>
        <w:p w14:paraId="62C7C2D0" w14:textId="77777777" w:rsidR="003E4DD2" w:rsidRDefault="009E07EE">
          <w:pPr>
            <w:jc w:val="both"/>
            <w:rPr>
              <w:rFonts w:ascii="Verdana" w:eastAsia="Verdana" w:hAnsi="Verdana" w:cs="Verdana"/>
              <w:b/>
              <w:i w:val="0"/>
              <w:sz w:val="22"/>
              <w:szCs w:val="22"/>
            </w:rPr>
          </w:pPr>
          <w:bookmarkStart w:id="9" w:name="bookmark=id.envlys4d9ec" w:colFirst="0" w:colLast="0"/>
          <w:bookmarkEnd w:id="9"/>
          <w:r>
            <w:rPr>
              <w:b/>
              <w:i w:val="0"/>
              <w:sz w:val="20"/>
              <w:szCs w:val="20"/>
            </w:rPr>
            <w:t xml:space="preserve">REPRESENTANTES LEGALES, MIEMBROS DE LOS ÓRGANOS DE ADMINISTRACIÓN, DE CONTROL SOCIAL Y REVISORES FISCALES DE LAS ORGANIZACIONES DE ECONOMÍA SOLIDARIA DE TERCER NIVEL DE SUPERVISIÓN DIFERENTES A FONDOS DE EMPLEADOS Y ASOCIACIONES MUTUALISTAS. </w:t>
          </w:r>
        </w:p>
      </w:tc>
    </w:tr>
    <w:tr w:rsidR="003E4DD2" w14:paraId="0358FA71" w14:textId="77777777">
      <w:tc>
        <w:tcPr>
          <w:tcW w:w="1521" w:type="dxa"/>
        </w:tcPr>
        <w:p w14:paraId="4EE2CACC" w14:textId="77777777" w:rsidR="003E4DD2" w:rsidRDefault="009E07EE">
          <w:pPr>
            <w:rPr>
              <w:rFonts w:ascii="Verdana" w:eastAsia="Verdana" w:hAnsi="Verdana" w:cs="Verdana"/>
              <w:b/>
              <w:i w:val="0"/>
            </w:rPr>
          </w:pPr>
          <w:r>
            <w:rPr>
              <w:rFonts w:ascii="Verdana" w:eastAsia="Verdana" w:hAnsi="Verdana" w:cs="Verdana"/>
              <w:b/>
              <w:i w:val="0"/>
              <w:sz w:val="22"/>
              <w:szCs w:val="22"/>
            </w:rPr>
            <w:t>DE:</w:t>
          </w:r>
        </w:p>
      </w:tc>
      <w:tc>
        <w:tcPr>
          <w:tcW w:w="7602" w:type="dxa"/>
        </w:tcPr>
        <w:p w14:paraId="068334E3" w14:textId="77777777" w:rsidR="003E4DD2" w:rsidRDefault="009E07EE">
          <w:pPr>
            <w:rPr>
              <w:rFonts w:ascii="Verdana" w:eastAsia="Verdana" w:hAnsi="Verdana" w:cs="Verdana"/>
              <w:b/>
              <w:i w:val="0"/>
              <w:sz w:val="20"/>
              <w:szCs w:val="20"/>
            </w:rPr>
          </w:pPr>
          <w:bookmarkStart w:id="10" w:name="bookmark=id.p97rhc2xcd72" w:colFirst="0" w:colLast="0"/>
          <w:bookmarkEnd w:id="10"/>
          <w:r>
            <w:rPr>
              <w:b/>
              <w:i w:val="0"/>
              <w:sz w:val="20"/>
              <w:szCs w:val="20"/>
            </w:rPr>
            <w:t>SUPERINTENDENTA DE LA ECONOMÍA SOLIDARIA</w:t>
          </w:r>
          <w:r>
            <w:rPr>
              <w:rFonts w:ascii="Verdana" w:eastAsia="Verdana" w:hAnsi="Verdana" w:cs="Verdana"/>
              <w:b/>
              <w:i w:val="0"/>
              <w:sz w:val="20"/>
              <w:szCs w:val="20"/>
            </w:rPr>
            <w:t xml:space="preserve">  </w:t>
          </w:r>
        </w:p>
        <w:p w14:paraId="6D8ADD4E" w14:textId="77777777" w:rsidR="00DA449E" w:rsidRDefault="00DA449E">
          <w:pPr>
            <w:rPr>
              <w:rFonts w:ascii="Verdana" w:eastAsia="Verdana" w:hAnsi="Verdana" w:cs="Verdana"/>
              <w:b/>
              <w:i w:val="0"/>
              <w:sz w:val="22"/>
              <w:szCs w:val="22"/>
            </w:rPr>
          </w:pPr>
        </w:p>
      </w:tc>
    </w:tr>
    <w:tr w:rsidR="003E4DD2" w14:paraId="2476179F" w14:textId="77777777">
      <w:trPr>
        <w:trHeight w:val="60"/>
      </w:trPr>
      <w:tc>
        <w:tcPr>
          <w:tcW w:w="1521" w:type="dxa"/>
        </w:tcPr>
        <w:p w14:paraId="078C7355" w14:textId="77777777" w:rsidR="003E4DD2" w:rsidRDefault="009E07EE">
          <w:pPr>
            <w:rPr>
              <w:rFonts w:ascii="Verdana" w:eastAsia="Verdana" w:hAnsi="Verdana" w:cs="Verdana"/>
              <w:b/>
              <w:i w:val="0"/>
            </w:rPr>
          </w:pPr>
          <w:r>
            <w:rPr>
              <w:rFonts w:ascii="Verdana" w:eastAsia="Verdana" w:hAnsi="Verdana" w:cs="Verdana"/>
              <w:b/>
              <w:i w:val="0"/>
              <w:sz w:val="22"/>
              <w:szCs w:val="22"/>
            </w:rPr>
            <w:t>ASUNTO:</w:t>
          </w:r>
        </w:p>
      </w:tc>
      <w:tc>
        <w:tcPr>
          <w:tcW w:w="7602" w:type="dxa"/>
        </w:tcPr>
        <w:p w14:paraId="79667CC6" w14:textId="77777777" w:rsidR="003E4DD2" w:rsidRDefault="009E07EE">
          <w:pPr>
            <w:jc w:val="both"/>
            <w:rPr>
              <w:b/>
              <w:i w:val="0"/>
              <w:sz w:val="20"/>
              <w:szCs w:val="20"/>
            </w:rPr>
          </w:pPr>
          <w:r>
            <w:rPr>
              <w:b/>
              <w:i w:val="0"/>
              <w:sz w:val="20"/>
              <w:szCs w:val="20"/>
            </w:rPr>
            <w:t>ADICIÓN DEL NUMERAL 6.2.3.3. AL CAPÍTULO I DEL TÍTULO II DE LA CIRCULAR BÁSICA CONTABLE Y FINANCIERA</w:t>
          </w:r>
        </w:p>
        <w:p w14:paraId="323132C9" w14:textId="77777777" w:rsidR="00DA449E" w:rsidRDefault="00DA449E">
          <w:pPr>
            <w:jc w:val="both"/>
            <w:rPr>
              <w:rFonts w:ascii="Verdana" w:eastAsia="Verdana" w:hAnsi="Verdana" w:cs="Verdana"/>
              <w:b/>
              <w:i w:val="0"/>
              <w:sz w:val="22"/>
              <w:szCs w:val="22"/>
            </w:rPr>
          </w:pPr>
        </w:p>
      </w:tc>
    </w:tr>
    <w:tr w:rsidR="003E4DD2" w14:paraId="7454CB7B" w14:textId="77777777">
      <w:tc>
        <w:tcPr>
          <w:tcW w:w="1521" w:type="dxa"/>
        </w:tcPr>
        <w:p w14:paraId="6174F6FE" w14:textId="77777777" w:rsidR="003E4DD2" w:rsidRDefault="009E07EE">
          <w:pPr>
            <w:rPr>
              <w:rFonts w:ascii="Verdana" w:eastAsia="Verdana" w:hAnsi="Verdana" w:cs="Verdana"/>
              <w:b/>
              <w:i w:val="0"/>
            </w:rPr>
          </w:pPr>
          <w:r>
            <w:rPr>
              <w:rFonts w:ascii="Verdana" w:eastAsia="Verdana" w:hAnsi="Verdana" w:cs="Verdana"/>
              <w:b/>
              <w:i w:val="0"/>
              <w:sz w:val="22"/>
              <w:szCs w:val="22"/>
            </w:rPr>
            <w:t>FECHA:</w:t>
          </w:r>
        </w:p>
      </w:tc>
      <w:tc>
        <w:tcPr>
          <w:tcW w:w="7602" w:type="dxa"/>
        </w:tcPr>
        <w:p w14:paraId="5F344C02" w14:textId="79A23B78" w:rsidR="003E4DD2" w:rsidRDefault="009E07EE">
          <w:pPr>
            <w:rPr>
              <w:rFonts w:ascii="Verdana" w:eastAsia="Verdana" w:hAnsi="Verdana" w:cs="Verdana"/>
              <w:b/>
              <w:i w:val="0"/>
            </w:rPr>
          </w:pPr>
          <w:r>
            <w:rPr>
              <w:b/>
              <w:i w:val="0"/>
              <w:sz w:val="20"/>
              <w:szCs w:val="20"/>
            </w:rPr>
            <w:t xml:space="preserve">BOGOTÁ D.C., </w:t>
          </w:r>
          <w:r w:rsidR="00EB227A">
            <w:rPr>
              <w:b/>
              <w:i w:val="0"/>
              <w:sz w:val="20"/>
              <w:szCs w:val="20"/>
            </w:rPr>
            <w:t>23</w:t>
          </w:r>
          <w:r w:rsidR="00DA449E">
            <w:rPr>
              <w:b/>
              <w:i w:val="0"/>
              <w:sz w:val="20"/>
              <w:szCs w:val="20"/>
            </w:rPr>
            <w:t xml:space="preserve"> </w:t>
          </w:r>
          <w:r>
            <w:rPr>
              <w:b/>
              <w:i w:val="0"/>
              <w:sz w:val="20"/>
              <w:szCs w:val="20"/>
            </w:rPr>
            <w:t xml:space="preserve">DE </w:t>
          </w:r>
          <w:r w:rsidR="00EB227A">
            <w:rPr>
              <w:b/>
              <w:i w:val="0"/>
              <w:sz w:val="20"/>
              <w:szCs w:val="20"/>
            </w:rPr>
            <w:t>JULIO</w:t>
          </w:r>
          <w:r>
            <w:rPr>
              <w:b/>
              <w:i w:val="0"/>
              <w:sz w:val="20"/>
              <w:szCs w:val="20"/>
            </w:rPr>
            <w:t xml:space="preserve"> DE 2025 </w:t>
          </w:r>
          <w:bookmarkStart w:id="11" w:name="bookmark=id.e6spco8d6oyi" w:colFirst="0" w:colLast="0"/>
          <w:bookmarkEnd w:id="11"/>
          <w:r>
            <w:rPr>
              <w:rFonts w:ascii="Verdana" w:eastAsia="Verdana" w:hAnsi="Verdana" w:cs="Verdana"/>
              <w:b/>
              <w:i w:val="0"/>
              <w:sz w:val="22"/>
              <w:szCs w:val="22"/>
            </w:rPr>
            <w:t xml:space="preserve">  </w:t>
          </w:r>
        </w:p>
      </w:tc>
    </w:tr>
  </w:tbl>
  <w:p w14:paraId="740F16F4" w14:textId="77777777" w:rsidR="003E4DD2" w:rsidRDefault="003E4DD2">
    <w:pPr>
      <w:rPr>
        <w:rFonts w:ascii="Verdana" w:eastAsia="Verdana" w:hAnsi="Verdana" w:cs="Verdana"/>
        <w:b/>
        <w:i w:val="0"/>
      </w:rPr>
    </w:pPr>
  </w:p>
  <w:p w14:paraId="01F096CA" w14:textId="77777777" w:rsidR="003E4DD2" w:rsidRDefault="009E07EE">
    <w:pPr>
      <w:rPr>
        <w:rFonts w:ascii="Verdana" w:eastAsia="Verdana" w:hAnsi="Verdana" w:cs="Verdana"/>
        <w:b/>
        <w:i w:val="0"/>
        <w:sz w:val="22"/>
        <w:szCs w:val="22"/>
      </w:rPr>
    </w:pPr>
    <w:r>
      <w:rPr>
        <w:noProof/>
      </w:rPr>
      <mc:AlternateContent>
        <mc:Choice Requires="wps">
          <w:drawing>
            <wp:anchor distT="0" distB="0" distL="114300" distR="114300" simplePos="0" relativeHeight="251660288" behindDoc="0" locked="0" layoutInCell="1" hidden="0" allowOverlap="1" wp14:anchorId="56B9EB57" wp14:editId="35864FC8">
              <wp:simplePos x="0" y="0"/>
              <wp:positionH relativeFrom="column">
                <wp:posOffset>12701</wp:posOffset>
              </wp:positionH>
              <wp:positionV relativeFrom="paragraph">
                <wp:posOffset>38100</wp:posOffset>
              </wp:positionV>
              <wp:extent cx="0" cy="57150"/>
              <wp:effectExtent l="0" t="0" r="0" b="0"/>
              <wp:wrapTopAndBottom distT="0" distB="0"/>
              <wp:docPr id="28" name="Conector recto de flecha 28"/>
              <wp:cNvGraphicFramePr/>
              <a:graphic xmlns:a="http://schemas.openxmlformats.org/drawingml/2006/main">
                <a:graphicData uri="http://schemas.microsoft.com/office/word/2010/wordprocessingShape">
                  <wps:wsp>
                    <wps:cNvCnPr/>
                    <wps:spPr>
                      <a:xfrm>
                        <a:off x="2526600" y="3780000"/>
                        <a:ext cx="5638800" cy="0"/>
                      </a:xfrm>
                      <a:prstGeom prst="straightConnector1">
                        <a:avLst/>
                      </a:prstGeom>
                      <a:noFill/>
                      <a:ln w="57150" cap="flat" cmpd="thinThick">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1784AEDF" id="_x0000_t32" coordsize="21600,21600" o:spt="32" o:oned="t" path="m,l21600,21600e" filled="f">
              <v:path arrowok="t" fillok="f" o:connecttype="none"/>
              <o:lock v:ext="edit" shapetype="t"/>
            </v:shapetype>
            <v:shape id="Conector recto de flecha 28" o:spid="_x0000_s1026" type="#_x0000_t32" style="position:absolute;margin-left:1pt;margin-top:3pt;width:0;height: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" strokeweight="4.5pt">
              <v:stroke linestyle="thinThick"/>
              <w10:wrap type="topAndBottom"/>
            </v:shape>
          </w:pict>
        </mc:Fallback>
      </mc:AlternateContent>
    </w:r>
  </w:p>
  <w:p w14:paraId="05D57883" w14:textId="77777777" w:rsidR="003E4DD2" w:rsidRDefault="003E4DD2">
    <w:pPr>
      <w:ind w:right="-59"/>
      <w:rPr>
        <w:rFonts w:ascii="Verdana" w:eastAsia="Verdana" w:hAnsi="Verdana" w:cs="Verdana"/>
        <w:sz w:val="18"/>
        <w:szCs w:val="18"/>
      </w:rPr>
    </w:pPr>
  </w:p>
  <w:p w14:paraId="697CE4C0" w14:textId="77777777" w:rsidR="003E4DD2" w:rsidRDefault="009E07EE">
    <w:pPr>
      <w:ind w:right="-59"/>
      <w:rPr>
        <w:rFonts w:ascii="Verdana" w:eastAsia="Verdana" w:hAnsi="Verdana" w:cs="Verdana"/>
        <w:sz w:val="18"/>
        <w:szCs w:val="18"/>
      </w:rPr>
    </w:pPr>
    <w:bookmarkStart w:id="12" w:name="bookmark=id.vj7u25ni32ex" w:colFirst="0" w:colLast="0"/>
    <w:bookmarkEnd w:id="12"/>
    <w:r>
      <w:rPr>
        <w:rFonts w:ascii="Verdana" w:eastAsia="Verdana" w:hAnsi="Verdana" w:cs="Verdana"/>
        <w:sz w:val="18"/>
        <w:szCs w:val="18"/>
      </w:rPr>
      <w:t xml:space="preserve">   - Circular Externa No. </w:t>
    </w:r>
    <w:bookmarkStart w:id="13" w:name="bookmark=id.gbhe9xca1oi" w:colFirst="0" w:colLast="0"/>
    <w:bookmarkEnd w:id="13"/>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Página </w:t>
    </w:r>
    <w:r>
      <w:rPr>
        <w:rFonts w:ascii="Verdana" w:eastAsia="Verdana" w:hAnsi="Verdana" w:cs="Verdana"/>
        <w:sz w:val="18"/>
        <w:szCs w:val="18"/>
      </w:rPr>
      <w:fldChar w:fldCharType="begin"/>
    </w:r>
    <w:r>
      <w:rPr>
        <w:rFonts w:ascii="Verdana" w:eastAsia="Verdana" w:hAnsi="Verdana" w:cs="Verdana"/>
        <w:sz w:val="18"/>
        <w:szCs w:val="18"/>
      </w:rPr>
      <w:instrText>PAGE</w:instrText>
    </w:r>
    <w:r>
      <w:rPr>
        <w:rFonts w:ascii="Verdana" w:eastAsia="Verdana" w:hAnsi="Verdana" w:cs="Verdana"/>
        <w:sz w:val="18"/>
        <w:szCs w:val="18"/>
      </w:rPr>
      <w:fldChar w:fldCharType="separate"/>
    </w:r>
    <w:r w:rsidR="00180683">
      <w:rPr>
        <w:rFonts w:ascii="Verdana" w:eastAsia="Verdana" w:hAnsi="Verdana" w:cs="Verdana"/>
        <w:noProof/>
        <w:sz w:val="18"/>
        <w:szCs w:val="18"/>
      </w:rPr>
      <w:t>1</w:t>
    </w:r>
    <w:r>
      <w:rPr>
        <w:rFonts w:ascii="Verdana" w:eastAsia="Verdana" w:hAnsi="Verdana" w:cs="Verdana"/>
        <w:sz w:val="18"/>
        <w:szCs w:val="18"/>
      </w:rPr>
      <w:fldChar w:fldCharType="end"/>
    </w:r>
    <w:r>
      <w:rPr>
        <w:rFonts w:ascii="Verdana" w:eastAsia="Verdana" w:hAnsi="Verdana" w:cs="Verdana"/>
        <w:sz w:val="18"/>
        <w:szCs w:val="18"/>
      </w:rPr>
      <w:t xml:space="preserve"> de </w:t>
    </w:r>
    <w:r>
      <w:rPr>
        <w:rFonts w:ascii="Verdana" w:eastAsia="Verdana" w:hAnsi="Verdana" w:cs="Verdana"/>
        <w:sz w:val="18"/>
        <w:szCs w:val="18"/>
      </w:rPr>
      <w:fldChar w:fldCharType="begin"/>
    </w:r>
    <w:r>
      <w:rPr>
        <w:rFonts w:ascii="Verdana" w:eastAsia="Verdana" w:hAnsi="Verdana" w:cs="Verdana"/>
        <w:sz w:val="18"/>
        <w:szCs w:val="18"/>
      </w:rPr>
      <w:instrText>NUMPAGES</w:instrText>
    </w:r>
    <w:r>
      <w:rPr>
        <w:rFonts w:ascii="Verdana" w:eastAsia="Verdana" w:hAnsi="Verdana" w:cs="Verdana"/>
        <w:sz w:val="18"/>
        <w:szCs w:val="18"/>
      </w:rPr>
      <w:fldChar w:fldCharType="separate"/>
    </w:r>
    <w:r w:rsidR="00180683">
      <w:rPr>
        <w:rFonts w:ascii="Verdana" w:eastAsia="Verdana" w:hAnsi="Verdana" w:cs="Verdana"/>
        <w:noProof/>
        <w:sz w:val="18"/>
        <w:szCs w:val="18"/>
      </w:rPr>
      <w:t>2</w:t>
    </w:r>
    <w:r>
      <w:rPr>
        <w:rFonts w:ascii="Verdana" w:eastAsia="Verdana" w:hAnsi="Verdana" w:cs="Verdana"/>
        <w:sz w:val="18"/>
        <w:szCs w:val="18"/>
      </w:rPr>
      <w:fldChar w:fldCharType="end"/>
    </w:r>
  </w:p>
  <w:p w14:paraId="77607C31" w14:textId="77777777" w:rsidR="003E4DD2" w:rsidRDefault="003E4DD2">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3FE7"/>
    <w:multiLevelType w:val="multilevel"/>
    <w:tmpl w:val="AA2A7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240E3F"/>
    <w:multiLevelType w:val="multilevel"/>
    <w:tmpl w:val="68C24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444448"/>
    <w:multiLevelType w:val="multilevel"/>
    <w:tmpl w:val="823C9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B817E5"/>
    <w:multiLevelType w:val="multilevel"/>
    <w:tmpl w:val="AACCC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DD2"/>
    <w:rsid w:val="00180683"/>
    <w:rsid w:val="0026249C"/>
    <w:rsid w:val="00265730"/>
    <w:rsid w:val="002A2772"/>
    <w:rsid w:val="002A4CC6"/>
    <w:rsid w:val="002E4015"/>
    <w:rsid w:val="003D4C57"/>
    <w:rsid w:val="003E4DD2"/>
    <w:rsid w:val="0045514B"/>
    <w:rsid w:val="007A0623"/>
    <w:rsid w:val="00916BE7"/>
    <w:rsid w:val="009E07EE"/>
    <w:rsid w:val="00AE47CB"/>
    <w:rsid w:val="00B35589"/>
    <w:rsid w:val="00BD4778"/>
    <w:rsid w:val="00BD64ED"/>
    <w:rsid w:val="00C14B62"/>
    <w:rsid w:val="00D10C5B"/>
    <w:rsid w:val="00D52E4A"/>
    <w:rsid w:val="00D63918"/>
    <w:rsid w:val="00DA449E"/>
    <w:rsid w:val="00EB227A"/>
    <w:rsid w:val="00F97E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88A0D"/>
  <w15:docId w15:val="{8CC978DA-F0B2-4857-8056-5772B4EA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i/>
        <w:sz w:val="24"/>
        <w:szCs w:val="24"/>
        <w:lang w:val="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lang w:val="es-CO" w:eastAsia="ar-SA"/>
    </w:rPr>
  </w:style>
  <w:style w:type="paragraph" w:styleId="Ttulo1">
    <w:name w:val="heading 1"/>
    <w:basedOn w:val="Normal"/>
    <w:next w:val="Normal"/>
    <w:link w:val="Ttulo1Car"/>
    <w:uiPriority w:val="9"/>
    <w:qFormat/>
    <w:rsid w:val="00696F6D"/>
    <w:pPr>
      <w:keepNext/>
      <w:tabs>
        <w:tab w:val="num" w:pos="0"/>
      </w:tabs>
      <w:outlineLvl w:val="0"/>
    </w:pPr>
    <w:rPr>
      <w:b/>
      <w:bCs/>
      <w:i w:val="0"/>
      <w:iCs/>
    </w:rPr>
  </w:style>
  <w:style w:type="paragraph" w:styleId="Ttulo2">
    <w:name w:val="heading 2"/>
    <w:basedOn w:val="Normal"/>
    <w:next w:val="Normal"/>
    <w:link w:val="Ttulo2Car"/>
    <w:uiPriority w:val="9"/>
    <w:unhideWhenUsed/>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
    <w:unhideWhenUsed/>
    <w:qFormat/>
    <w:rsid w:val="00696F6D"/>
    <w:pPr>
      <w:keepNext/>
      <w:tabs>
        <w:tab w:val="num" w:pos="0"/>
      </w:tabs>
      <w:outlineLvl w:val="2"/>
    </w:pPr>
    <w:rPr>
      <w:b/>
      <w:bCs/>
      <w:i w:val="0"/>
      <w:iCs/>
      <w:sz w:val="22"/>
    </w:rPr>
  </w:style>
  <w:style w:type="paragraph" w:styleId="Ttulo4">
    <w:name w:val="heading 4"/>
    <w:basedOn w:val="Normal"/>
    <w:next w:val="Normal"/>
    <w:link w:val="Ttulo4Car"/>
    <w:uiPriority w:val="9"/>
    <w:unhideWhenUsed/>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
    <w:semiHidden/>
    <w:unhideWhenUsed/>
    <w:qFormat/>
    <w:rsid w:val="00696F6D"/>
    <w:pPr>
      <w:keepNext/>
      <w:tabs>
        <w:tab w:val="num" w:pos="0"/>
      </w:tabs>
      <w:jc w:val="both"/>
      <w:outlineLvl w:val="4"/>
    </w:pPr>
  </w:style>
  <w:style w:type="paragraph" w:styleId="Ttulo6">
    <w:name w:val="heading 6"/>
    <w:basedOn w:val="Normal"/>
    <w:next w:val="Normal"/>
    <w:link w:val="Ttulo6Car"/>
    <w:uiPriority w:val="9"/>
    <w:semiHidden/>
    <w:unhideWhenUsed/>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Subttulo"/>
    <w:link w:val="TtuloCar"/>
    <w:uiPriority w:val="10"/>
    <w:qFormat/>
    <w:rsid w:val="00696F6D"/>
    <w:pPr>
      <w:jc w:val="center"/>
    </w:pPr>
    <w:rPr>
      <w:b/>
      <w:bCs/>
      <w:i w:val="0"/>
    </w:rPr>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Normal"/>
    <w:link w:val="SubttuloCar"/>
    <w:uiPriority w:val="11"/>
    <w:qFormat/>
    <w:pPr>
      <w:jc w:val="center"/>
    </w:pPr>
    <w:rPr>
      <w:rFonts w:ascii="Comic Sans MS" w:eastAsia="Comic Sans MS" w:hAnsi="Comic Sans MS" w:cs="Comic Sans MS"/>
      <w:b/>
      <w:i w:val="0"/>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styleId="Sinespaciado">
    <w:name w:val="No Spacing"/>
    <w:uiPriority w:val="1"/>
    <w:qFormat/>
    <w:rsid w:val="00AD04E7"/>
    <w:rPr>
      <w:rFonts w:asciiTheme="minorHAnsi" w:eastAsiaTheme="minorHAnsi" w:hAnsiTheme="minorHAnsi" w:cstheme="minorBidi"/>
      <w:lang w:val="es-CO" w:eastAsia="en-U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sin">
    <w:name w:val="Revision"/>
    <w:hidden/>
    <w:uiPriority w:val="99"/>
    <w:semiHidden/>
    <w:rsid w:val="00D63918"/>
    <w:rPr>
      <w:lang w:val="es-CO" w:eastAsia="ar-SA"/>
    </w:rPr>
  </w:style>
  <w:style w:type="paragraph" w:styleId="Asuntodelcomentario">
    <w:name w:val="annotation subject"/>
    <w:basedOn w:val="Textocomentario"/>
    <w:next w:val="Textocomentario"/>
    <w:link w:val="AsuntodelcomentarioCar"/>
    <w:uiPriority w:val="99"/>
    <w:semiHidden/>
    <w:unhideWhenUsed/>
    <w:rsid w:val="00BD4778"/>
    <w:rPr>
      <w:b/>
      <w:bCs/>
    </w:rPr>
  </w:style>
  <w:style w:type="character" w:customStyle="1" w:styleId="AsuntodelcomentarioCar">
    <w:name w:val="Asunto del comentario Car"/>
    <w:basedOn w:val="TextocomentarioCar"/>
    <w:link w:val="Asuntodelcomentario"/>
    <w:uiPriority w:val="99"/>
    <w:semiHidden/>
    <w:rsid w:val="00BD4778"/>
    <w:rPr>
      <w:rFonts w:ascii="Arial" w:hAnsi="Arial" w:cs="Arial"/>
      <w:b/>
      <w:bCs/>
      <w:i/>
      <w:sz w:val="20"/>
      <w:szCs w:val="20"/>
      <w:lang w:val="es-CO"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Lr5A5vY1lsm26yg2ULPLB+kyg==">CgMxLjAyDmguMnZsaXc5Zng3anF3Mg5oLjRjcW0wbm8ybzlhMzINaC5mZ2dlMHZlb2dseDIOaC51eWk0c3p1bnVtdjcyDmguZno3cDMzaWc5OHUzMg5oLmNsam9uMWFlaHkxZzIOaC5lemN6eWZnbjc1MjEyD2lkLmEwd2JncGxtazg0ZzIPaWQuYmVhbTY4dGM1YnNxMg9pZC5hcnkycjZueHZteGgyDmlkLmVudmx5czRkOWVjMg9pZC5wOTdyaGMyeGNkNzIyD2lkLmU2c3BjbzhkNm95aTIPaWQudmo3dTI1bmkzMmV4Mg5pZC5nYmhlOXhjYTFvaTgAciExTHRWcGRxWnpWbHhmY3MxSzRiV0xqRlZueDBOclpyZ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1610</Words>
  <Characters>8859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dc:creator>
  <cp:lastModifiedBy>Microsoft Office User</cp:lastModifiedBy>
  <cp:revision>2</cp:revision>
  <dcterms:created xsi:type="dcterms:W3CDTF">2025-07-23T13:20:00Z</dcterms:created>
  <dcterms:modified xsi:type="dcterms:W3CDTF">2025-07-23T13:20:00Z</dcterms:modified>
</cp:coreProperties>
</file>