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52FB9E" w14:textId="1B09FA0F" w:rsidR="009D0509" w:rsidRDefault="009D0509" w:rsidP="009D0509">
      <w:pPr>
        <w:jc w:val="both"/>
        <w:rPr>
          <w:rFonts w:ascii="Verdana" w:eastAsia="Verdana" w:hAnsi="Verdana" w:cs="Verdana"/>
          <w:i w:val="0"/>
          <w:sz w:val="22"/>
          <w:szCs w:val="22"/>
        </w:rPr>
      </w:pPr>
      <w:r>
        <w:rPr>
          <w:rFonts w:ascii="Verdana" w:hAnsi="Verdana"/>
          <w:i w:val="0"/>
          <w:iCs/>
          <w:sz w:val="22"/>
          <w:szCs w:val="22"/>
          <w:lang w:val="es-MX"/>
        </w:rPr>
        <w:t xml:space="preserve">Con base en las facultades otorgadas en el numeral 22 del artículo 36 de la Ley 454 de 1998, </w:t>
      </w:r>
      <w:r>
        <w:rPr>
          <w:rFonts w:ascii="Verdana" w:eastAsia="Verdana" w:hAnsi="Verdana" w:cs="Verdana"/>
          <w:i w:val="0"/>
          <w:sz w:val="22"/>
          <w:szCs w:val="22"/>
        </w:rPr>
        <w:t xml:space="preserve">la Superintendencia de la Economía Solidaria –Supersolidaria– puso a disposición de las empresas solidarias supervisadas (ESS) la </w:t>
      </w:r>
      <w:r>
        <w:rPr>
          <w:rFonts w:ascii="Verdana" w:eastAsia="Verdana" w:hAnsi="Verdana" w:cs="Verdana"/>
          <w:b/>
          <w:i w:val="0"/>
          <w:sz w:val="22"/>
          <w:szCs w:val="22"/>
        </w:rPr>
        <w:t>Guía para la Implementación de Mejores Prácticas de Buen Gobierno para Empresas Solidarias Vigiladas</w:t>
      </w:r>
      <w:r>
        <w:rPr>
          <w:rFonts w:ascii="Verdana" w:eastAsia="Verdana" w:hAnsi="Verdana" w:cs="Verdana"/>
          <w:i w:val="0"/>
          <w:sz w:val="22"/>
          <w:szCs w:val="22"/>
        </w:rPr>
        <w:t>, cuyo propósito es promover la incorporación de prácticas que fortalezcan las relaciones entre los asociados, los órganos de administración y control, la gerencia o representante legal, y demás partes interesadas, garantizando confianza, protección y promoción de las empresas del sector solidario.</w:t>
      </w:r>
    </w:p>
    <w:p w14:paraId="548BB051" w14:textId="77777777" w:rsidR="009D0509" w:rsidRDefault="009D0509" w:rsidP="009D0509">
      <w:pPr>
        <w:spacing w:before="280" w:after="280"/>
        <w:jc w:val="both"/>
        <w:rPr>
          <w:rFonts w:ascii="Verdana" w:eastAsia="Verdana" w:hAnsi="Verdana" w:cs="Verdana"/>
          <w:i w:val="0"/>
          <w:sz w:val="22"/>
          <w:szCs w:val="22"/>
        </w:rPr>
      </w:pPr>
      <w:r>
        <w:rPr>
          <w:rFonts w:ascii="Verdana" w:eastAsia="Verdana" w:hAnsi="Verdana" w:cs="Verdana"/>
          <w:i w:val="0"/>
          <w:sz w:val="22"/>
          <w:szCs w:val="22"/>
        </w:rPr>
        <w:t>La Guía busca identificar y difundir elementos de buen gobierno que fortalezcan los procesos internos y los controles, con el fin de generar un efecto positivo en el cumplimiento de los fines, principios y características propias de las ESS. Entre estos se destacan: la participación democrática de los asociados, la gestión equitativa de beneficios, la igualdad en derechos y obligaciones, y la provisión permanente y oportuna de información y formación para los asociados.</w:t>
      </w:r>
    </w:p>
    <w:p w14:paraId="0DF7FE0D" w14:textId="77777777" w:rsidR="009D0509" w:rsidRDefault="009D0509" w:rsidP="009D0509">
      <w:pPr>
        <w:spacing w:line="252" w:lineRule="auto"/>
        <w:jc w:val="both"/>
        <w:rPr>
          <w:rFonts w:ascii="Verdana" w:eastAsia="Verdana" w:hAnsi="Verdana" w:cs="Verdana"/>
          <w:i w:val="0"/>
          <w:sz w:val="22"/>
          <w:szCs w:val="22"/>
        </w:rPr>
      </w:pPr>
      <w:bookmarkStart w:id="0" w:name="_heading=h.oio5s5myswb6"/>
      <w:bookmarkEnd w:id="0"/>
      <w:r>
        <w:rPr>
          <w:rFonts w:ascii="Verdana" w:eastAsia="Verdana" w:hAnsi="Verdana" w:cs="Verdana"/>
          <w:i w:val="0"/>
          <w:sz w:val="22"/>
          <w:szCs w:val="22"/>
        </w:rPr>
        <w:t xml:space="preserve">En relación con el ámbito de aplicación de la guía, precisamos que la </w:t>
      </w:r>
      <w:r>
        <w:rPr>
          <w:rFonts w:ascii="Verdana" w:eastAsia="Verdana" w:hAnsi="Verdana" w:cs="Verdana"/>
          <w:b/>
          <w:i w:val="0"/>
          <w:sz w:val="22"/>
          <w:szCs w:val="22"/>
        </w:rPr>
        <w:t xml:space="preserve">adopción e implementación de la Guía para la Implementación de Mejores Prácticas </w:t>
      </w:r>
      <w:r>
        <w:rPr>
          <w:rFonts w:ascii="Verdana" w:eastAsia="Verdana" w:hAnsi="Verdana" w:cs="Verdana"/>
          <w:b/>
          <w:i w:val="0"/>
          <w:sz w:val="22"/>
          <w:szCs w:val="22"/>
        </w:rPr>
        <w:lastRenderedPageBreak/>
        <w:t xml:space="preserve">de Buen Gobierno para Empresas Solidarias Vigiladas, se realiza bajo el principio de adopte o explique, siendo obligatoria </w:t>
      </w:r>
      <w:r>
        <w:rPr>
          <w:rFonts w:ascii="Verdana" w:eastAsia="Verdana" w:hAnsi="Verdana" w:cs="Verdana"/>
          <w:i w:val="0"/>
          <w:sz w:val="22"/>
          <w:szCs w:val="22"/>
        </w:rPr>
        <w:t xml:space="preserve">en primer término para </w:t>
      </w:r>
      <w:r>
        <w:rPr>
          <w:rFonts w:ascii="Verdana" w:eastAsia="Verdana" w:hAnsi="Verdana" w:cs="Verdana"/>
          <w:i w:val="0"/>
          <w:color w:val="222222"/>
          <w:sz w:val="22"/>
          <w:szCs w:val="22"/>
        </w:rPr>
        <w:t xml:space="preserve">las cooperativas de ahorro y crédito, multiactivas e integrales con sección de ahorro y crédito, los fondos de empleados que </w:t>
      </w:r>
      <w:r>
        <w:rPr>
          <w:rFonts w:ascii="Verdana" w:eastAsia="Verdana" w:hAnsi="Verdana" w:cs="Verdana"/>
          <w:i w:val="0"/>
          <w:sz w:val="22"/>
          <w:szCs w:val="22"/>
        </w:rPr>
        <w:t xml:space="preserve">pertenecen a las categorías </w:t>
      </w:r>
      <w:r>
        <w:rPr>
          <w:rFonts w:ascii="Verdana" w:eastAsia="Verdana" w:hAnsi="Verdana" w:cs="Verdana"/>
          <w:b/>
          <w:i w:val="0"/>
          <w:color w:val="222222"/>
          <w:sz w:val="22"/>
          <w:szCs w:val="22"/>
        </w:rPr>
        <w:t>plena e intermedia</w:t>
      </w:r>
      <w:r>
        <w:rPr>
          <w:rFonts w:ascii="Verdana" w:eastAsia="Verdana" w:hAnsi="Verdana" w:cs="Verdana"/>
          <w:i w:val="0"/>
          <w:sz w:val="22"/>
          <w:szCs w:val="22"/>
        </w:rPr>
        <w:t>, de acuerdo con las categorías definidas en el Decreto 344 de 2017</w:t>
      </w:r>
      <w:r>
        <w:rPr>
          <w:rFonts w:ascii="Verdana" w:eastAsia="Verdana" w:hAnsi="Verdana" w:cs="Verdana"/>
          <w:i w:val="0"/>
          <w:sz w:val="22"/>
          <w:szCs w:val="22"/>
          <w:vertAlign w:val="superscript"/>
        </w:rPr>
        <w:footnoteReference w:id="1"/>
      </w:r>
      <w:r>
        <w:rPr>
          <w:rFonts w:ascii="Verdana" w:eastAsia="Verdana" w:hAnsi="Verdana" w:cs="Verdana"/>
          <w:i w:val="0"/>
          <w:sz w:val="22"/>
          <w:szCs w:val="22"/>
        </w:rPr>
        <w:t xml:space="preserve">. Lo anterior, en consideración a que son las empresas solidarias supervisadas de mayor tamaño y complejidad, de acuerdo con su nivel de activos, las que concentran más del noventa y cinco por ciento (95%) del ahorro de los asociados del sector, y a que el Decreto 962 de 2018 señaló la necesidad de propender por el fortalecimiento del buen gobierno de las vigiladas que desarrollan actividades de ahorro y crédito y las </w:t>
      </w:r>
      <w:r>
        <w:rPr>
          <w:rFonts w:ascii="Verdana" w:eastAsia="Verdana" w:hAnsi="Verdana" w:cs="Verdana"/>
          <w:b/>
          <w:i w:val="0"/>
          <w:sz w:val="22"/>
          <w:szCs w:val="22"/>
        </w:rPr>
        <w:t>asociaciones mutualistas</w:t>
      </w:r>
      <w:r>
        <w:rPr>
          <w:rFonts w:ascii="Verdana" w:eastAsia="Verdana" w:hAnsi="Verdana" w:cs="Verdana"/>
          <w:i w:val="0"/>
          <w:sz w:val="22"/>
          <w:szCs w:val="22"/>
        </w:rPr>
        <w:t>, en atención a que pueden desarrollar el servicio de ahorro y crédito y no cuentan con ningún tipo de regulación prudencial aplicable a sus servicios de ahorro y crédito.</w:t>
      </w:r>
    </w:p>
    <w:p w14:paraId="7DD9FE67" w14:textId="77777777" w:rsidR="009D0509" w:rsidRDefault="009D0509" w:rsidP="009D0509">
      <w:pPr>
        <w:spacing w:line="252" w:lineRule="auto"/>
        <w:jc w:val="both"/>
        <w:rPr>
          <w:rFonts w:ascii="Verdana" w:eastAsia="Verdana" w:hAnsi="Verdana" w:cs="Verdana"/>
          <w:i w:val="0"/>
          <w:sz w:val="22"/>
          <w:szCs w:val="22"/>
        </w:rPr>
      </w:pPr>
    </w:p>
    <w:p w14:paraId="2F01B2C6" w14:textId="77777777" w:rsidR="009D0509" w:rsidRDefault="009D0509" w:rsidP="009D0509">
      <w:pPr>
        <w:spacing w:line="252" w:lineRule="auto"/>
        <w:jc w:val="both"/>
        <w:rPr>
          <w:rFonts w:ascii="Verdana" w:eastAsia="Verdana" w:hAnsi="Verdana" w:cs="Verdana"/>
          <w:i w:val="0"/>
          <w:sz w:val="22"/>
          <w:szCs w:val="22"/>
        </w:rPr>
      </w:pPr>
      <w:bookmarkStart w:id="1" w:name="_heading=h.kfrrm26655au"/>
      <w:bookmarkEnd w:id="1"/>
      <w:r>
        <w:rPr>
          <w:rFonts w:ascii="Verdana" w:eastAsia="Verdana" w:hAnsi="Verdana" w:cs="Verdana"/>
          <w:i w:val="0"/>
          <w:sz w:val="22"/>
          <w:szCs w:val="22"/>
        </w:rPr>
        <w:t xml:space="preserve">Y, por último, las </w:t>
      </w:r>
      <w:r>
        <w:rPr>
          <w:rFonts w:ascii="Verdana" w:eastAsia="Verdana" w:hAnsi="Verdana" w:cs="Verdana"/>
          <w:b/>
          <w:i w:val="0"/>
          <w:sz w:val="22"/>
          <w:szCs w:val="22"/>
        </w:rPr>
        <w:t>empresas solidarias sometidas al primer nivel de supervisión</w:t>
      </w:r>
      <w:r>
        <w:rPr>
          <w:rFonts w:ascii="Verdana" w:eastAsia="Verdana" w:hAnsi="Verdana" w:cs="Verdana"/>
          <w:i w:val="0"/>
          <w:sz w:val="22"/>
          <w:szCs w:val="22"/>
        </w:rPr>
        <w:t xml:space="preserve"> por la Supersolidaria, independientemente de la actividad que realicen, en virtud de lo dispuesto en el numeral 19 del artículo 36 de la Ley 454 de 1998 y el artículo 2.11.1.8 del Decreto 1068 de 2015.</w:t>
      </w:r>
    </w:p>
    <w:p w14:paraId="6F342B6C" w14:textId="77777777" w:rsidR="009D0509" w:rsidRDefault="009D0509" w:rsidP="009D0509">
      <w:pPr>
        <w:spacing w:line="252" w:lineRule="auto"/>
        <w:jc w:val="both"/>
        <w:rPr>
          <w:rFonts w:ascii="Verdana" w:eastAsia="Verdana" w:hAnsi="Verdana" w:cs="Verdana"/>
          <w:b/>
          <w:i w:val="0"/>
          <w:color w:val="222222"/>
          <w:sz w:val="22"/>
          <w:szCs w:val="22"/>
          <w:highlight w:val="white"/>
        </w:rPr>
      </w:pPr>
    </w:p>
    <w:p w14:paraId="3F72B1BD" w14:textId="201D9361" w:rsidR="009D0509" w:rsidRDefault="009D0509" w:rsidP="009D0509">
      <w:pPr>
        <w:spacing w:line="252" w:lineRule="auto"/>
        <w:jc w:val="both"/>
        <w:rPr>
          <w:rFonts w:ascii="Verdana" w:eastAsia="Verdana" w:hAnsi="Verdana" w:cs="Verdana"/>
          <w:i w:val="0"/>
          <w:sz w:val="22"/>
          <w:szCs w:val="22"/>
        </w:rPr>
      </w:pPr>
      <w:r>
        <w:rPr>
          <w:rFonts w:ascii="Verdana" w:eastAsia="Verdana" w:hAnsi="Verdana" w:cs="Verdana"/>
          <w:i w:val="0"/>
          <w:sz w:val="22"/>
          <w:szCs w:val="22"/>
        </w:rPr>
        <w:t xml:space="preserve">La Guía está estructurada bajo el principio de </w:t>
      </w:r>
      <w:r>
        <w:rPr>
          <w:rFonts w:ascii="Verdana" w:eastAsia="Verdana" w:hAnsi="Verdana" w:cs="Verdana"/>
          <w:b/>
          <w:bCs/>
          <w:i w:val="0"/>
          <w:sz w:val="22"/>
          <w:szCs w:val="22"/>
        </w:rPr>
        <w:t>“adopte o explique”,</w:t>
      </w:r>
      <w:r>
        <w:rPr>
          <w:rFonts w:ascii="Verdana" w:eastAsia="Verdana" w:hAnsi="Verdana" w:cs="Verdana"/>
          <w:i w:val="0"/>
          <w:sz w:val="22"/>
          <w:szCs w:val="22"/>
        </w:rPr>
        <w:t xml:space="preserve"> este principio implica que las empresas solidarias incluidas en el ámbito de aplicación deben adoptar sus recomendaciones. Sin embargo, cuando alguna disposición no pueda implementarse, la </w:t>
      </w:r>
      <w:r>
        <w:rPr>
          <w:rFonts w:ascii="Verdana" w:eastAsia="Verdana" w:hAnsi="Verdana" w:cs="Verdana"/>
          <w:i w:val="0"/>
          <w:sz w:val="22"/>
          <w:szCs w:val="22"/>
        </w:rPr>
        <w:t xml:space="preserve">empresa solidaria </w:t>
      </w:r>
      <w:r>
        <w:rPr>
          <w:rFonts w:ascii="Verdana" w:eastAsia="Verdana" w:hAnsi="Verdana" w:cs="Verdana"/>
          <w:i w:val="0"/>
          <w:sz w:val="22"/>
          <w:szCs w:val="22"/>
        </w:rPr>
        <w:t xml:space="preserve">deberá </w:t>
      </w:r>
      <w:r>
        <w:rPr>
          <w:rFonts w:ascii="Verdana" w:eastAsia="Verdana" w:hAnsi="Verdana" w:cs="Verdana"/>
          <w:bCs/>
          <w:i w:val="0"/>
          <w:sz w:val="22"/>
          <w:szCs w:val="22"/>
        </w:rPr>
        <w:t>explicar de manera clara, razonada y justificada</w:t>
      </w:r>
      <w:r>
        <w:rPr>
          <w:rFonts w:ascii="Verdana" w:eastAsia="Verdana" w:hAnsi="Verdana" w:cs="Verdana"/>
          <w:i w:val="0"/>
          <w:sz w:val="22"/>
          <w:szCs w:val="22"/>
        </w:rPr>
        <w:t xml:space="preserve"> los motivos que sustentan dicha decisión. </w:t>
      </w:r>
    </w:p>
    <w:p w14:paraId="2E1981E4" w14:textId="77777777" w:rsidR="009D0509" w:rsidRDefault="009D0509" w:rsidP="009D0509">
      <w:pPr>
        <w:spacing w:line="252" w:lineRule="auto"/>
        <w:jc w:val="both"/>
        <w:rPr>
          <w:rFonts w:ascii="Verdana" w:eastAsia="Verdana" w:hAnsi="Verdana" w:cs="Verdana"/>
          <w:i w:val="0"/>
          <w:sz w:val="22"/>
          <w:szCs w:val="22"/>
        </w:rPr>
      </w:pPr>
      <w:r>
        <w:rPr>
          <w:rFonts w:ascii="Verdana" w:eastAsia="Verdana" w:hAnsi="Verdana" w:cs="Verdana"/>
          <w:i w:val="0"/>
          <w:sz w:val="22"/>
          <w:szCs w:val="22"/>
        </w:rPr>
        <w:br/>
        <w:t xml:space="preserve">Es importante precisar que este principio </w:t>
      </w:r>
      <w:r>
        <w:rPr>
          <w:rFonts w:ascii="Verdana" w:eastAsia="Verdana" w:hAnsi="Verdana" w:cs="Verdana"/>
          <w:b/>
          <w:i w:val="0"/>
          <w:sz w:val="22"/>
          <w:szCs w:val="22"/>
        </w:rPr>
        <w:t>no habilita a las ESS para dejar de cumplir normas de carácter obligatorio</w:t>
      </w:r>
      <w:r>
        <w:rPr>
          <w:rFonts w:ascii="Verdana" w:eastAsia="Verdana" w:hAnsi="Verdana" w:cs="Verdana"/>
          <w:i w:val="0"/>
          <w:sz w:val="22"/>
          <w:szCs w:val="22"/>
        </w:rPr>
        <w:t>, sino que aplica únicamente frente a recomendaciones que, por la naturaleza o particularidades de la ESS, no puedan ser implementadas.</w:t>
      </w:r>
    </w:p>
    <w:p w14:paraId="2398E6B0" w14:textId="77777777" w:rsidR="009D0509" w:rsidRDefault="009D0509" w:rsidP="009D0509">
      <w:pPr>
        <w:spacing w:line="252" w:lineRule="auto"/>
        <w:jc w:val="both"/>
        <w:rPr>
          <w:rFonts w:ascii="Verdana" w:eastAsia="Verdana" w:hAnsi="Verdana" w:cs="Verdana"/>
          <w:i w:val="0"/>
          <w:sz w:val="22"/>
          <w:szCs w:val="22"/>
        </w:rPr>
      </w:pPr>
    </w:p>
    <w:p w14:paraId="3BD6C621" w14:textId="77777777" w:rsidR="009D0509" w:rsidRDefault="009D0509" w:rsidP="009D0509">
      <w:pPr>
        <w:spacing w:line="252" w:lineRule="auto"/>
        <w:jc w:val="both"/>
        <w:rPr>
          <w:rFonts w:ascii="Verdana" w:eastAsia="Verdana" w:hAnsi="Verdana" w:cs="Verdana"/>
          <w:i w:val="0"/>
          <w:sz w:val="22"/>
          <w:szCs w:val="22"/>
        </w:rPr>
      </w:pPr>
      <w:bookmarkStart w:id="2" w:name="_heading=h.4ieo0n61c67j"/>
      <w:bookmarkEnd w:id="2"/>
      <w:r>
        <w:rPr>
          <w:rFonts w:ascii="Verdana" w:eastAsia="Verdana" w:hAnsi="Verdana" w:cs="Verdana"/>
          <w:i w:val="0"/>
          <w:sz w:val="22"/>
          <w:szCs w:val="22"/>
        </w:rPr>
        <w:t>El propósito central de la guía es fomentar la transparencia y el fortalecimiento institucional de las empresas solidarias</w:t>
      </w:r>
      <w:r>
        <w:rPr>
          <w:rFonts w:ascii="Verdana" w:eastAsia="Verdana" w:hAnsi="Verdana" w:cs="Verdana"/>
          <w:b/>
          <w:i w:val="0"/>
          <w:sz w:val="22"/>
          <w:szCs w:val="22"/>
        </w:rPr>
        <w:t xml:space="preserve"> </w:t>
      </w:r>
      <w:r>
        <w:rPr>
          <w:rFonts w:ascii="Verdana" w:eastAsia="Verdana" w:hAnsi="Verdana" w:cs="Verdana"/>
          <w:i w:val="0"/>
          <w:sz w:val="22"/>
          <w:szCs w:val="22"/>
        </w:rPr>
        <w:t>supervisadas ESS. En relación con la actividad sancionatoria esta Superintendencia se encuentra regida por los numerales 6 y 7 del artículo 36 de la Ley 454 de 1998 y los numerales 1 y 2 del artículo 2 del Decreto 186 de 2004, los cuales establecen que, hay lugar al ejercicio de la facultad sancionatoria cuando se presenta la violación de una norma legal o del estatuto o reglamento.</w:t>
      </w:r>
    </w:p>
    <w:p w14:paraId="397BB1D0" w14:textId="77777777" w:rsidR="009D0509" w:rsidRDefault="009D0509" w:rsidP="009D0509">
      <w:pPr>
        <w:spacing w:line="252" w:lineRule="auto"/>
        <w:jc w:val="both"/>
        <w:rPr>
          <w:rFonts w:ascii="Verdana" w:eastAsia="Verdana" w:hAnsi="Verdana" w:cs="Verdana"/>
          <w:i w:val="0"/>
          <w:sz w:val="22"/>
          <w:szCs w:val="22"/>
        </w:rPr>
      </w:pPr>
      <w:bookmarkStart w:id="3" w:name="_heading=h.z38xrj6l11tn"/>
      <w:bookmarkEnd w:id="3"/>
    </w:p>
    <w:p w14:paraId="59613986" w14:textId="77777777" w:rsidR="009D0509" w:rsidRDefault="009D0509" w:rsidP="009D0509">
      <w:pPr>
        <w:spacing w:line="252" w:lineRule="auto"/>
        <w:jc w:val="both"/>
        <w:rPr>
          <w:rFonts w:ascii="Verdana" w:eastAsia="Verdana" w:hAnsi="Verdana" w:cs="Verdana"/>
          <w:i w:val="0"/>
          <w:sz w:val="22"/>
          <w:szCs w:val="22"/>
        </w:rPr>
      </w:pPr>
      <w:bookmarkStart w:id="4" w:name="_heading=h.byuhf86w4ew6"/>
      <w:bookmarkEnd w:id="4"/>
      <w:r>
        <w:rPr>
          <w:rFonts w:ascii="Verdana" w:eastAsia="Verdana" w:hAnsi="Verdana" w:cs="Verdana"/>
          <w:i w:val="0"/>
          <w:sz w:val="22"/>
          <w:szCs w:val="22"/>
        </w:rPr>
        <w:t>En consideración de lo anterior, solamente habrá lugar a la imposición de sanciones cuando la acción u omisión corresponda a la vulneración de normas legales o estatuarias que son obligatorias. Lo cual implica que en el caso en que las empresas solidarias supervisadas, en consideración de sus particularidades, en aplicación del principio de “adopte o explique”, no adoptan una(s) recomendación(es) que no corresponden a una obligación legal, no hay lugar a la imposición de sanciones de acuerdo con las facultades legales de la Superintendencia.</w:t>
      </w:r>
    </w:p>
    <w:p w14:paraId="01E8B608" w14:textId="77777777" w:rsidR="009D0509" w:rsidRDefault="009D0509" w:rsidP="009D0509">
      <w:pPr>
        <w:spacing w:line="252" w:lineRule="auto"/>
        <w:jc w:val="both"/>
        <w:rPr>
          <w:rFonts w:ascii="Verdana" w:eastAsia="Verdana" w:hAnsi="Verdana" w:cs="Verdana"/>
          <w:i w:val="0"/>
          <w:sz w:val="22"/>
          <w:szCs w:val="22"/>
        </w:rPr>
      </w:pPr>
    </w:p>
    <w:p w14:paraId="579BF70B" w14:textId="77777777" w:rsidR="009D0509" w:rsidRDefault="009D0509" w:rsidP="009D0509">
      <w:pPr>
        <w:spacing w:line="252" w:lineRule="auto"/>
        <w:jc w:val="both"/>
        <w:rPr>
          <w:rFonts w:ascii="Verdana" w:eastAsia="Verdana" w:hAnsi="Verdana" w:cs="Verdana"/>
          <w:i w:val="0"/>
          <w:sz w:val="22"/>
          <w:szCs w:val="22"/>
        </w:rPr>
      </w:pPr>
      <w:r>
        <w:rPr>
          <w:rFonts w:ascii="Verdana" w:eastAsia="Verdana" w:hAnsi="Verdana" w:cs="Verdana"/>
          <w:i w:val="0"/>
          <w:sz w:val="22"/>
          <w:szCs w:val="22"/>
        </w:rPr>
        <w:t>Por lo anterior, esta Superintendencia en el ejercicio de las facultades legales conferidas en el numeral 22 del artículo 36 de la Ley 454 de 1998, dando alcance a la Circular Externa No. 88 de 13 de agosto de 2025, imparte las siguientes instrucciones:</w:t>
      </w:r>
    </w:p>
    <w:p w14:paraId="15614C4C" w14:textId="77777777" w:rsidR="009D0509" w:rsidRDefault="009D0509" w:rsidP="009D0509">
      <w:pPr>
        <w:spacing w:line="252" w:lineRule="auto"/>
        <w:jc w:val="both"/>
        <w:rPr>
          <w:rFonts w:ascii="Verdana" w:eastAsia="Verdana" w:hAnsi="Verdana" w:cs="Verdana"/>
          <w:b/>
          <w:i w:val="0"/>
          <w:color w:val="222222"/>
          <w:sz w:val="22"/>
          <w:szCs w:val="22"/>
          <w:highlight w:val="white"/>
        </w:rPr>
      </w:pPr>
    </w:p>
    <w:p w14:paraId="50B8CE49" w14:textId="77777777" w:rsidR="009D0509" w:rsidRDefault="009D0509" w:rsidP="009D0509">
      <w:pPr>
        <w:spacing w:line="252" w:lineRule="auto"/>
        <w:jc w:val="both"/>
        <w:rPr>
          <w:rFonts w:ascii="Verdana" w:eastAsia="Verdana" w:hAnsi="Verdana" w:cs="Verdana"/>
          <w:i w:val="0"/>
          <w:color w:val="222222"/>
          <w:sz w:val="22"/>
          <w:szCs w:val="22"/>
          <w:highlight w:val="white"/>
        </w:rPr>
      </w:pPr>
      <w:r>
        <w:rPr>
          <w:rFonts w:ascii="Verdana" w:eastAsia="Verdana" w:hAnsi="Verdana" w:cs="Verdana"/>
          <w:b/>
          <w:i w:val="0"/>
          <w:color w:val="222222"/>
          <w:sz w:val="22"/>
          <w:szCs w:val="22"/>
          <w:highlight w:val="white"/>
        </w:rPr>
        <w:t>PRIMERA:</w:t>
      </w:r>
      <w:r>
        <w:rPr>
          <w:rFonts w:ascii="Verdana" w:eastAsia="Verdana" w:hAnsi="Verdana" w:cs="Verdana"/>
          <w:i w:val="0"/>
          <w:color w:val="222222"/>
          <w:sz w:val="22"/>
          <w:szCs w:val="22"/>
          <w:highlight w:val="white"/>
        </w:rPr>
        <w:t xml:space="preserve"> Modificar las instrucciones primera y segunda de la Circular Externa No. 88 del 13 de agosto de 2025, las cuales quedarán así:</w:t>
      </w:r>
    </w:p>
    <w:p w14:paraId="5CCE95B8" w14:textId="77777777" w:rsidR="009D0509" w:rsidRDefault="009D0509" w:rsidP="009D0509">
      <w:pPr>
        <w:spacing w:line="252" w:lineRule="auto"/>
        <w:jc w:val="both"/>
        <w:rPr>
          <w:rFonts w:ascii="Verdana" w:eastAsia="Verdana" w:hAnsi="Verdana" w:cs="Verdana"/>
          <w:b/>
          <w:i w:val="0"/>
          <w:color w:val="222222"/>
          <w:sz w:val="22"/>
          <w:szCs w:val="22"/>
          <w:highlight w:val="white"/>
        </w:rPr>
      </w:pPr>
    </w:p>
    <w:p w14:paraId="7C528D74" w14:textId="77777777" w:rsidR="009D0509" w:rsidRDefault="009D0509" w:rsidP="009D0509">
      <w:pPr>
        <w:spacing w:line="252" w:lineRule="auto"/>
        <w:ind w:left="720"/>
        <w:jc w:val="both"/>
        <w:rPr>
          <w:rFonts w:ascii="Verdana" w:eastAsia="Verdana" w:hAnsi="Verdana" w:cs="Verdana"/>
          <w:color w:val="222222"/>
          <w:sz w:val="22"/>
          <w:szCs w:val="22"/>
        </w:rPr>
      </w:pPr>
      <w:r>
        <w:rPr>
          <w:rFonts w:ascii="Verdana" w:eastAsia="Verdana" w:hAnsi="Verdana" w:cs="Verdana"/>
          <w:b/>
          <w:color w:val="222222"/>
          <w:sz w:val="22"/>
          <w:szCs w:val="22"/>
          <w:highlight w:val="white"/>
        </w:rPr>
        <w:t>“PRIMERA:</w:t>
      </w:r>
      <w:r>
        <w:rPr>
          <w:rFonts w:ascii="Verdana" w:eastAsia="Verdana" w:hAnsi="Verdana" w:cs="Verdana"/>
          <w:color w:val="222222"/>
          <w:sz w:val="22"/>
          <w:szCs w:val="22"/>
          <w:highlight w:val="white"/>
        </w:rPr>
        <w:t xml:space="preserve"> </w:t>
      </w:r>
      <w:r>
        <w:rPr>
          <w:rFonts w:ascii="Verdana" w:eastAsia="Verdana" w:hAnsi="Verdana" w:cs="Verdana"/>
          <w:b/>
          <w:color w:val="222222"/>
          <w:sz w:val="22"/>
          <w:szCs w:val="22"/>
          <w:highlight w:val="white"/>
        </w:rPr>
        <w:t xml:space="preserve">Ámbito de aplicación. </w:t>
      </w:r>
      <w:r>
        <w:rPr>
          <w:rFonts w:ascii="Verdana" w:eastAsia="Verdana" w:hAnsi="Verdana" w:cs="Verdana"/>
          <w:color w:val="222222"/>
          <w:sz w:val="22"/>
          <w:szCs w:val="22"/>
        </w:rPr>
        <w:t xml:space="preserve">La presente guía es aplicable a las cooperativas de ahorro y crédito, multiactivas e integrales con sección de ahorro y crédito, </w:t>
      </w:r>
      <w:r>
        <w:rPr>
          <w:rFonts w:ascii="Verdana" w:eastAsia="Verdana" w:hAnsi="Verdana" w:cs="Verdana"/>
          <w:b/>
          <w:color w:val="222222"/>
          <w:sz w:val="22"/>
          <w:szCs w:val="22"/>
        </w:rPr>
        <w:t>fondos de empleados de categorías plena e intermedia</w:t>
      </w:r>
      <w:r>
        <w:rPr>
          <w:rFonts w:ascii="Verdana" w:eastAsia="Verdana" w:hAnsi="Verdana" w:cs="Verdana"/>
          <w:sz w:val="22"/>
          <w:szCs w:val="22"/>
        </w:rPr>
        <w:t>, asociaciones mutualistas, y las demás empresas solidarias supervisadas por la Delegatura para la Supervisión del Ahorro y la Forma Asociativa Solidaria, que se encuentren en el primer nivel de supervisión, de conformidad con lo establecido en el Título I de la parte 11 del Decreto 1068 de 2015</w:t>
      </w:r>
      <w:r>
        <w:rPr>
          <w:rFonts w:ascii="Verdana" w:eastAsia="Verdana" w:hAnsi="Verdana" w:cs="Verdana"/>
          <w:color w:val="222222"/>
          <w:sz w:val="22"/>
          <w:szCs w:val="22"/>
        </w:rPr>
        <w:t>.</w:t>
      </w:r>
    </w:p>
    <w:p w14:paraId="0609A4A3" w14:textId="77777777" w:rsidR="009D0509" w:rsidRDefault="009D0509" w:rsidP="009D0509">
      <w:pPr>
        <w:spacing w:line="252" w:lineRule="auto"/>
        <w:jc w:val="both"/>
        <w:rPr>
          <w:rFonts w:ascii="Verdana" w:eastAsia="Verdana" w:hAnsi="Verdana" w:cs="Verdana"/>
          <w:color w:val="222222"/>
          <w:sz w:val="22"/>
          <w:szCs w:val="22"/>
          <w:highlight w:val="white"/>
        </w:rPr>
      </w:pPr>
    </w:p>
    <w:p w14:paraId="3AFDC0AE" w14:textId="77777777" w:rsidR="009D0509" w:rsidRDefault="009D0509" w:rsidP="009D0509">
      <w:pPr>
        <w:spacing w:line="252" w:lineRule="auto"/>
        <w:ind w:left="720"/>
        <w:jc w:val="both"/>
        <w:rPr>
          <w:rFonts w:ascii="Verdana" w:eastAsia="Verdana" w:hAnsi="Verdana" w:cs="Verdana"/>
          <w:sz w:val="22"/>
          <w:szCs w:val="22"/>
        </w:rPr>
      </w:pPr>
      <w:r>
        <w:rPr>
          <w:rFonts w:ascii="Verdana" w:eastAsia="Verdana" w:hAnsi="Verdana" w:cs="Verdana"/>
          <w:b/>
          <w:color w:val="222222"/>
          <w:sz w:val="22"/>
          <w:szCs w:val="22"/>
          <w:highlight w:val="white"/>
        </w:rPr>
        <w:t xml:space="preserve">SEGUNDA: Cronograma de implementación. </w:t>
      </w:r>
      <w:r>
        <w:rPr>
          <w:rFonts w:ascii="Verdana" w:eastAsia="Verdana" w:hAnsi="Verdana" w:cs="Verdana"/>
          <w:sz w:val="22"/>
          <w:szCs w:val="22"/>
        </w:rPr>
        <w:t>La implementación de la guía se llevará a cabo de manera progresiva, por tipo de empresa solidaria, teniendo en cuenta su categoría o nivel de supervisión, de acuerdo con el siguiente cronograma:</w:t>
      </w:r>
    </w:p>
    <w:p w14:paraId="33D5A748" w14:textId="77777777" w:rsidR="009D0509" w:rsidRDefault="009D0509" w:rsidP="009D0509">
      <w:pPr>
        <w:spacing w:line="252" w:lineRule="auto"/>
        <w:jc w:val="both"/>
        <w:rPr>
          <w:rFonts w:ascii="Verdana" w:eastAsia="Verdana" w:hAnsi="Verdana" w:cs="Verdana"/>
          <w:sz w:val="8"/>
          <w:szCs w:val="22"/>
        </w:rPr>
      </w:pPr>
    </w:p>
    <w:tbl>
      <w:tblPr>
        <w:tblW w:w="9210" w:type="dxa"/>
        <w:tblInd w:w="-15" w:type="dxa"/>
        <w:tblLayout w:type="fixed"/>
        <w:tblLook w:val="0400" w:firstRow="0" w:lastRow="0" w:firstColumn="0" w:lastColumn="0" w:noHBand="0" w:noVBand="1"/>
      </w:tblPr>
      <w:tblGrid>
        <w:gridCol w:w="3260"/>
        <w:gridCol w:w="3002"/>
        <w:gridCol w:w="2948"/>
      </w:tblGrid>
      <w:tr w:rsidR="009D0509" w14:paraId="4C2609F9" w14:textId="77777777" w:rsidTr="009D0509">
        <w:trPr>
          <w:tblHeader/>
        </w:trPr>
        <w:tc>
          <w:tcPr>
            <w:tcW w:w="3261" w:type="dxa"/>
            <w:tcBorders>
              <w:top w:val="nil"/>
              <w:left w:val="nil"/>
              <w:bottom w:val="single" w:sz="4" w:space="0" w:color="000000"/>
              <w:right w:val="nil"/>
            </w:tcBorders>
            <w:tcMar>
              <w:top w:w="15" w:type="dxa"/>
              <w:left w:w="15" w:type="dxa"/>
              <w:bottom w:w="15" w:type="dxa"/>
              <w:right w:w="15" w:type="dxa"/>
            </w:tcMar>
            <w:vAlign w:val="center"/>
            <w:hideMark/>
          </w:tcPr>
          <w:p w14:paraId="267F475B" w14:textId="77777777" w:rsidR="009D0509" w:rsidRDefault="009D0509">
            <w:pPr>
              <w:jc w:val="center"/>
              <w:rPr>
                <w:rFonts w:ascii="Verdana" w:eastAsia="Verdana" w:hAnsi="Verdana" w:cs="Verdana"/>
                <w:b/>
                <w:sz w:val="22"/>
                <w:szCs w:val="22"/>
              </w:rPr>
            </w:pPr>
            <w:r>
              <w:rPr>
                <w:rFonts w:ascii="Verdana" w:eastAsia="Verdana" w:hAnsi="Verdana" w:cs="Verdana"/>
                <w:b/>
                <w:sz w:val="22"/>
                <w:szCs w:val="22"/>
              </w:rPr>
              <w:t>Tipo de Empresa Solidaria</w:t>
            </w:r>
          </w:p>
        </w:tc>
        <w:tc>
          <w:tcPr>
            <w:tcW w:w="3003" w:type="dxa"/>
            <w:tcBorders>
              <w:top w:val="nil"/>
              <w:left w:val="nil"/>
              <w:bottom w:val="single" w:sz="4" w:space="0" w:color="000000"/>
              <w:right w:val="nil"/>
            </w:tcBorders>
            <w:tcMar>
              <w:top w:w="15" w:type="dxa"/>
              <w:left w:w="15" w:type="dxa"/>
              <w:bottom w:w="15" w:type="dxa"/>
              <w:right w:w="15" w:type="dxa"/>
            </w:tcMar>
            <w:vAlign w:val="center"/>
            <w:hideMark/>
          </w:tcPr>
          <w:p w14:paraId="7BE12B7F" w14:textId="77777777" w:rsidR="009D0509" w:rsidRDefault="009D0509">
            <w:pPr>
              <w:jc w:val="center"/>
              <w:rPr>
                <w:rFonts w:ascii="Verdana" w:eastAsia="Verdana" w:hAnsi="Verdana" w:cs="Verdana"/>
                <w:b/>
                <w:sz w:val="22"/>
                <w:szCs w:val="22"/>
              </w:rPr>
            </w:pPr>
            <w:r>
              <w:rPr>
                <w:rFonts w:ascii="Verdana" w:eastAsia="Verdana" w:hAnsi="Verdana" w:cs="Verdana"/>
                <w:b/>
                <w:sz w:val="22"/>
                <w:szCs w:val="22"/>
              </w:rPr>
              <w:t>Categoría o Nivel de Supervisión</w:t>
            </w:r>
          </w:p>
        </w:tc>
        <w:tc>
          <w:tcPr>
            <w:tcW w:w="2949" w:type="dxa"/>
            <w:tcBorders>
              <w:top w:val="nil"/>
              <w:left w:val="nil"/>
              <w:bottom w:val="single" w:sz="4" w:space="0" w:color="000000"/>
              <w:right w:val="nil"/>
            </w:tcBorders>
            <w:tcMar>
              <w:top w:w="15" w:type="dxa"/>
              <w:left w:w="15" w:type="dxa"/>
              <w:bottom w:w="15" w:type="dxa"/>
              <w:right w:w="15" w:type="dxa"/>
            </w:tcMar>
            <w:vAlign w:val="center"/>
            <w:hideMark/>
          </w:tcPr>
          <w:p w14:paraId="084EA53F" w14:textId="77777777" w:rsidR="009D0509" w:rsidRDefault="009D0509">
            <w:pPr>
              <w:jc w:val="center"/>
              <w:rPr>
                <w:rFonts w:ascii="Verdana" w:eastAsia="Verdana" w:hAnsi="Verdana" w:cs="Verdana"/>
                <w:b/>
                <w:sz w:val="22"/>
                <w:szCs w:val="22"/>
              </w:rPr>
            </w:pPr>
            <w:r>
              <w:rPr>
                <w:rFonts w:ascii="Verdana" w:eastAsia="Verdana" w:hAnsi="Verdana" w:cs="Verdana"/>
                <w:b/>
                <w:sz w:val="22"/>
                <w:szCs w:val="22"/>
              </w:rPr>
              <w:t>Fecha de Implementación</w:t>
            </w:r>
          </w:p>
        </w:tc>
      </w:tr>
      <w:tr w:rsidR="009D0509" w14:paraId="40A44A89" w14:textId="77777777" w:rsidTr="009D0509">
        <w:tc>
          <w:tcPr>
            <w:tcW w:w="3261" w:type="dxa"/>
            <w:tcBorders>
              <w:top w:val="single" w:sz="4" w:space="0" w:color="000000"/>
              <w:left w:val="nil"/>
              <w:bottom w:val="single" w:sz="4" w:space="0" w:color="000000"/>
              <w:right w:val="nil"/>
            </w:tcBorders>
            <w:tcMar>
              <w:top w:w="15" w:type="dxa"/>
              <w:left w:w="15" w:type="dxa"/>
              <w:bottom w:w="15" w:type="dxa"/>
              <w:right w:w="15" w:type="dxa"/>
            </w:tcMar>
            <w:vAlign w:val="center"/>
            <w:hideMark/>
          </w:tcPr>
          <w:p w14:paraId="6A59761D" w14:textId="77777777" w:rsidR="009D0509" w:rsidRDefault="009D0509">
            <w:pPr>
              <w:rPr>
                <w:rFonts w:ascii="Verdana" w:eastAsia="Verdana" w:hAnsi="Verdana" w:cs="Verdana"/>
                <w:sz w:val="22"/>
                <w:szCs w:val="22"/>
              </w:rPr>
            </w:pPr>
            <w:r>
              <w:rPr>
                <w:rFonts w:ascii="Verdana" w:eastAsia="Verdana" w:hAnsi="Verdana" w:cs="Verdana"/>
                <w:sz w:val="22"/>
                <w:szCs w:val="22"/>
              </w:rPr>
              <w:t>Cooperativas de Ahorro y Crédito (</w:t>
            </w:r>
            <w:proofErr w:type="spellStart"/>
            <w:r>
              <w:rPr>
                <w:rFonts w:ascii="Verdana" w:eastAsia="Verdana" w:hAnsi="Verdana" w:cs="Verdana"/>
                <w:sz w:val="22"/>
                <w:szCs w:val="22"/>
              </w:rPr>
              <w:t>CAC´s</w:t>
            </w:r>
            <w:proofErr w:type="spellEnd"/>
            <w:r>
              <w:rPr>
                <w:rFonts w:ascii="Verdana" w:eastAsia="Verdana" w:hAnsi="Verdana" w:cs="Verdana"/>
                <w:sz w:val="22"/>
                <w:szCs w:val="22"/>
              </w:rPr>
              <w:t>) y Fondos de Empleados</w:t>
            </w:r>
          </w:p>
        </w:tc>
        <w:tc>
          <w:tcPr>
            <w:tcW w:w="3003" w:type="dxa"/>
            <w:tcBorders>
              <w:top w:val="single" w:sz="4" w:space="0" w:color="000000"/>
              <w:left w:val="nil"/>
              <w:bottom w:val="single" w:sz="4" w:space="0" w:color="000000"/>
              <w:right w:val="nil"/>
            </w:tcBorders>
            <w:tcMar>
              <w:top w:w="15" w:type="dxa"/>
              <w:left w:w="15" w:type="dxa"/>
              <w:bottom w:w="15" w:type="dxa"/>
              <w:right w:w="15" w:type="dxa"/>
            </w:tcMar>
            <w:vAlign w:val="center"/>
            <w:hideMark/>
          </w:tcPr>
          <w:p w14:paraId="05151C84"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Categoría Plena</w:t>
            </w:r>
          </w:p>
        </w:tc>
        <w:tc>
          <w:tcPr>
            <w:tcW w:w="2949" w:type="dxa"/>
            <w:tcBorders>
              <w:top w:val="single" w:sz="4" w:space="0" w:color="000000"/>
              <w:left w:val="nil"/>
              <w:bottom w:val="single" w:sz="4" w:space="0" w:color="000000"/>
              <w:right w:val="nil"/>
            </w:tcBorders>
            <w:tcMar>
              <w:top w:w="15" w:type="dxa"/>
              <w:left w:w="15" w:type="dxa"/>
              <w:bottom w:w="15" w:type="dxa"/>
              <w:right w:w="15" w:type="dxa"/>
            </w:tcMar>
            <w:vAlign w:val="center"/>
            <w:hideMark/>
          </w:tcPr>
          <w:p w14:paraId="15F3AF99"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A partir del 1 de abril de 2026</w:t>
            </w:r>
          </w:p>
        </w:tc>
      </w:tr>
      <w:tr w:rsidR="009D0509" w14:paraId="2D341A84" w14:textId="77777777" w:rsidTr="009D0509">
        <w:tc>
          <w:tcPr>
            <w:tcW w:w="3261" w:type="dxa"/>
            <w:tcBorders>
              <w:top w:val="nil"/>
              <w:left w:val="nil"/>
              <w:bottom w:val="single" w:sz="4" w:space="0" w:color="000000"/>
              <w:right w:val="nil"/>
            </w:tcBorders>
            <w:tcMar>
              <w:top w:w="15" w:type="dxa"/>
              <w:left w:w="15" w:type="dxa"/>
              <w:bottom w:w="15" w:type="dxa"/>
              <w:right w:w="15" w:type="dxa"/>
            </w:tcMar>
            <w:vAlign w:val="center"/>
            <w:hideMark/>
          </w:tcPr>
          <w:p w14:paraId="79CC4E52" w14:textId="77777777" w:rsidR="009D0509" w:rsidRDefault="009D0509">
            <w:pPr>
              <w:rPr>
                <w:rFonts w:ascii="Verdana" w:eastAsia="Verdana" w:hAnsi="Verdana" w:cs="Verdana"/>
                <w:sz w:val="22"/>
                <w:szCs w:val="22"/>
              </w:rPr>
            </w:pPr>
            <w:proofErr w:type="spellStart"/>
            <w:r>
              <w:rPr>
                <w:rFonts w:ascii="Verdana" w:eastAsia="Verdana" w:hAnsi="Verdana" w:cs="Verdana"/>
                <w:sz w:val="22"/>
                <w:szCs w:val="22"/>
              </w:rPr>
              <w:t>CAC´s</w:t>
            </w:r>
            <w:proofErr w:type="spellEnd"/>
            <w:r>
              <w:rPr>
                <w:rFonts w:ascii="Verdana" w:eastAsia="Verdana" w:hAnsi="Verdana" w:cs="Verdana"/>
                <w:sz w:val="22"/>
                <w:szCs w:val="22"/>
              </w:rPr>
              <w:t xml:space="preserve"> y Fondos de Empleados</w:t>
            </w:r>
          </w:p>
        </w:tc>
        <w:tc>
          <w:tcPr>
            <w:tcW w:w="3003" w:type="dxa"/>
            <w:tcBorders>
              <w:top w:val="nil"/>
              <w:left w:val="nil"/>
              <w:bottom w:val="single" w:sz="4" w:space="0" w:color="000000"/>
              <w:right w:val="nil"/>
            </w:tcBorders>
            <w:tcMar>
              <w:top w:w="15" w:type="dxa"/>
              <w:left w:w="15" w:type="dxa"/>
              <w:bottom w:w="15" w:type="dxa"/>
              <w:right w:w="15" w:type="dxa"/>
            </w:tcMar>
            <w:vAlign w:val="center"/>
            <w:hideMark/>
          </w:tcPr>
          <w:p w14:paraId="2DE596DA"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Categoría Intermedia</w:t>
            </w:r>
          </w:p>
        </w:tc>
        <w:tc>
          <w:tcPr>
            <w:tcW w:w="2949" w:type="dxa"/>
            <w:tcBorders>
              <w:top w:val="nil"/>
              <w:left w:val="nil"/>
              <w:bottom w:val="single" w:sz="4" w:space="0" w:color="000000"/>
              <w:right w:val="nil"/>
            </w:tcBorders>
            <w:tcMar>
              <w:top w:w="15" w:type="dxa"/>
              <w:left w:w="15" w:type="dxa"/>
              <w:bottom w:w="15" w:type="dxa"/>
              <w:right w:w="15" w:type="dxa"/>
            </w:tcMar>
            <w:vAlign w:val="center"/>
            <w:hideMark/>
          </w:tcPr>
          <w:p w14:paraId="5BD8F4CC"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A partir del 1 de julio de 2026</w:t>
            </w:r>
          </w:p>
        </w:tc>
      </w:tr>
      <w:tr w:rsidR="009D0509" w14:paraId="60B6B81C" w14:textId="77777777" w:rsidTr="009D0509">
        <w:tc>
          <w:tcPr>
            <w:tcW w:w="3261" w:type="dxa"/>
            <w:tcBorders>
              <w:top w:val="nil"/>
              <w:left w:val="nil"/>
              <w:bottom w:val="single" w:sz="4" w:space="0" w:color="000000"/>
              <w:right w:val="nil"/>
            </w:tcBorders>
            <w:tcMar>
              <w:top w:w="15" w:type="dxa"/>
              <w:left w:w="15" w:type="dxa"/>
              <w:bottom w:w="15" w:type="dxa"/>
              <w:right w:w="15" w:type="dxa"/>
            </w:tcMar>
            <w:vAlign w:val="center"/>
            <w:hideMark/>
          </w:tcPr>
          <w:p w14:paraId="42E9FCB7" w14:textId="77777777" w:rsidR="009D0509" w:rsidRDefault="009D0509">
            <w:pPr>
              <w:rPr>
                <w:rFonts w:ascii="Verdana" w:eastAsia="Verdana" w:hAnsi="Verdana" w:cs="Verdana"/>
                <w:sz w:val="22"/>
                <w:szCs w:val="22"/>
              </w:rPr>
            </w:pPr>
            <w:proofErr w:type="spellStart"/>
            <w:r>
              <w:rPr>
                <w:rFonts w:ascii="Verdana" w:eastAsia="Verdana" w:hAnsi="Verdana" w:cs="Verdana"/>
                <w:sz w:val="22"/>
                <w:szCs w:val="22"/>
              </w:rPr>
              <w:t>CAC´s</w:t>
            </w:r>
            <w:proofErr w:type="spellEnd"/>
          </w:p>
        </w:tc>
        <w:tc>
          <w:tcPr>
            <w:tcW w:w="3003" w:type="dxa"/>
            <w:tcBorders>
              <w:top w:val="nil"/>
              <w:left w:val="nil"/>
              <w:bottom w:val="single" w:sz="4" w:space="0" w:color="000000"/>
              <w:right w:val="nil"/>
            </w:tcBorders>
            <w:tcMar>
              <w:top w:w="15" w:type="dxa"/>
              <w:left w:w="15" w:type="dxa"/>
              <w:bottom w:w="15" w:type="dxa"/>
              <w:right w:w="15" w:type="dxa"/>
            </w:tcMar>
            <w:vAlign w:val="center"/>
            <w:hideMark/>
          </w:tcPr>
          <w:p w14:paraId="2590CC41"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Categoría Básica</w:t>
            </w:r>
          </w:p>
        </w:tc>
        <w:tc>
          <w:tcPr>
            <w:tcW w:w="2949" w:type="dxa"/>
            <w:tcBorders>
              <w:top w:val="nil"/>
              <w:left w:val="nil"/>
              <w:bottom w:val="single" w:sz="4" w:space="0" w:color="000000"/>
              <w:right w:val="nil"/>
            </w:tcBorders>
            <w:tcMar>
              <w:top w:w="15" w:type="dxa"/>
              <w:left w:w="15" w:type="dxa"/>
              <w:bottom w:w="15" w:type="dxa"/>
              <w:right w:w="15" w:type="dxa"/>
            </w:tcMar>
            <w:vAlign w:val="center"/>
            <w:hideMark/>
          </w:tcPr>
          <w:p w14:paraId="3EF88FF0"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A partir del 1 de enero de 2027</w:t>
            </w:r>
          </w:p>
        </w:tc>
      </w:tr>
      <w:tr w:rsidR="009D0509" w14:paraId="2CE365BE" w14:textId="77777777" w:rsidTr="009D0509">
        <w:tc>
          <w:tcPr>
            <w:tcW w:w="3261" w:type="dxa"/>
            <w:tcBorders>
              <w:top w:val="nil"/>
              <w:left w:val="nil"/>
              <w:bottom w:val="single" w:sz="4" w:space="0" w:color="000000"/>
              <w:right w:val="nil"/>
            </w:tcBorders>
            <w:tcMar>
              <w:top w:w="15" w:type="dxa"/>
              <w:left w:w="15" w:type="dxa"/>
              <w:bottom w:w="15" w:type="dxa"/>
              <w:right w:w="15" w:type="dxa"/>
            </w:tcMar>
            <w:vAlign w:val="center"/>
            <w:hideMark/>
          </w:tcPr>
          <w:p w14:paraId="5CC206C7" w14:textId="77777777" w:rsidR="009D0509" w:rsidRDefault="009D0509">
            <w:pPr>
              <w:rPr>
                <w:rFonts w:ascii="Verdana" w:eastAsia="Verdana" w:hAnsi="Verdana" w:cs="Verdana"/>
                <w:sz w:val="22"/>
                <w:szCs w:val="22"/>
              </w:rPr>
            </w:pPr>
            <w:r>
              <w:rPr>
                <w:rFonts w:ascii="Verdana" w:eastAsia="Verdana" w:hAnsi="Verdana" w:cs="Verdana"/>
                <w:sz w:val="22"/>
                <w:szCs w:val="22"/>
              </w:rPr>
              <w:lastRenderedPageBreak/>
              <w:t>Demás empresas vigiladas por la Delegatura Asociativa</w:t>
            </w:r>
          </w:p>
        </w:tc>
        <w:tc>
          <w:tcPr>
            <w:tcW w:w="3003" w:type="dxa"/>
            <w:tcBorders>
              <w:top w:val="nil"/>
              <w:left w:val="nil"/>
              <w:bottom w:val="single" w:sz="4" w:space="0" w:color="000000"/>
              <w:right w:val="nil"/>
            </w:tcBorders>
            <w:tcMar>
              <w:top w:w="15" w:type="dxa"/>
              <w:left w:w="15" w:type="dxa"/>
              <w:bottom w:w="15" w:type="dxa"/>
              <w:right w:w="15" w:type="dxa"/>
            </w:tcMar>
            <w:vAlign w:val="center"/>
            <w:hideMark/>
          </w:tcPr>
          <w:p w14:paraId="1A8ADCC2"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Primer Nivel de Supervisión</w:t>
            </w:r>
          </w:p>
        </w:tc>
        <w:tc>
          <w:tcPr>
            <w:tcW w:w="2949" w:type="dxa"/>
            <w:tcBorders>
              <w:top w:val="nil"/>
              <w:left w:val="nil"/>
              <w:bottom w:val="single" w:sz="4" w:space="0" w:color="000000"/>
              <w:right w:val="nil"/>
            </w:tcBorders>
            <w:tcMar>
              <w:top w:w="15" w:type="dxa"/>
              <w:left w:w="15" w:type="dxa"/>
              <w:bottom w:w="15" w:type="dxa"/>
              <w:right w:w="15" w:type="dxa"/>
            </w:tcMar>
            <w:vAlign w:val="center"/>
            <w:hideMark/>
          </w:tcPr>
          <w:p w14:paraId="5C43B77F" w14:textId="77777777" w:rsidR="009D0509" w:rsidRDefault="009D0509">
            <w:pPr>
              <w:jc w:val="center"/>
              <w:rPr>
                <w:rFonts w:ascii="Verdana" w:eastAsia="Verdana" w:hAnsi="Verdana" w:cs="Verdana"/>
                <w:sz w:val="22"/>
                <w:szCs w:val="22"/>
              </w:rPr>
            </w:pPr>
            <w:r>
              <w:rPr>
                <w:rFonts w:ascii="Verdana" w:eastAsia="Verdana" w:hAnsi="Verdana" w:cs="Verdana"/>
                <w:sz w:val="22"/>
                <w:szCs w:val="22"/>
              </w:rPr>
              <w:t>A partir del 1 de julio de 2027</w:t>
            </w:r>
          </w:p>
        </w:tc>
      </w:tr>
    </w:tbl>
    <w:p w14:paraId="2AC3055D" w14:textId="77777777" w:rsidR="009D0509" w:rsidRDefault="009D0509" w:rsidP="009D0509">
      <w:pPr>
        <w:spacing w:line="252" w:lineRule="auto"/>
        <w:jc w:val="both"/>
        <w:rPr>
          <w:rFonts w:ascii="Verdana" w:eastAsia="Verdana" w:hAnsi="Verdana" w:cs="Verdana"/>
          <w:b/>
          <w:i w:val="0"/>
          <w:sz w:val="22"/>
          <w:szCs w:val="22"/>
        </w:rPr>
      </w:pPr>
    </w:p>
    <w:p w14:paraId="16B18460" w14:textId="77777777" w:rsidR="009D0509" w:rsidRDefault="009D0509" w:rsidP="009D0509">
      <w:pPr>
        <w:spacing w:line="252" w:lineRule="auto"/>
        <w:jc w:val="both"/>
        <w:rPr>
          <w:rFonts w:ascii="Verdana" w:eastAsia="Verdana" w:hAnsi="Verdana" w:cs="Verdana"/>
          <w:i w:val="0"/>
          <w:color w:val="222222"/>
          <w:sz w:val="22"/>
          <w:szCs w:val="22"/>
          <w:highlight w:val="white"/>
        </w:rPr>
      </w:pPr>
      <w:r>
        <w:rPr>
          <w:rFonts w:ascii="Verdana" w:eastAsia="Verdana" w:hAnsi="Verdana" w:cs="Verdana"/>
          <w:b/>
          <w:i w:val="0"/>
          <w:sz w:val="22"/>
          <w:szCs w:val="22"/>
          <w:highlight w:val="white"/>
        </w:rPr>
        <w:t>SEGUNDA</w:t>
      </w:r>
      <w:r>
        <w:rPr>
          <w:rFonts w:ascii="Verdana" w:eastAsia="Verdana" w:hAnsi="Verdana" w:cs="Verdana"/>
          <w:b/>
          <w:i w:val="0"/>
          <w:color w:val="000000"/>
          <w:sz w:val="22"/>
          <w:szCs w:val="22"/>
          <w:highlight w:val="white"/>
        </w:rPr>
        <w:t xml:space="preserve">: </w:t>
      </w:r>
      <w:r>
        <w:rPr>
          <w:rFonts w:ascii="Verdana" w:eastAsia="Verdana" w:hAnsi="Verdana" w:cs="Verdana"/>
          <w:i w:val="0"/>
          <w:color w:val="222222"/>
          <w:sz w:val="22"/>
          <w:szCs w:val="22"/>
          <w:highlight w:val="white"/>
        </w:rPr>
        <w:t>Modificar la instrucción tercera de la Circular Externa No. 88 del 13 de agosto de 2025, la cual quedará así:</w:t>
      </w:r>
    </w:p>
    <w:p w14:paraId="33300435" w14:textId="77777777" w:rsidR="009D0509" w:rsidRDefault="009D0509" w:rsidP="009D0509">
      <w:pPr>
        <w:spacing w:line="252" w:lineRule="auto"/>
        <w:jc w:val="both"/>
        <w:rPr>
          <w:rFonts w:ascii="Verdana" w:eastAsia="Verdana" w:hAnsi="Verdana" w:cs="Verdana"/>
          <w:i w:val="0"/>
          <w:color w:val="222222"/>
          <w:sz w:val="22"/>
          <w:szCs w:val="22"/>
          <w:highlight w:val="white"/>
        </w:rPr>
      </w:pPr>
    </w:p>
    <w:p w14:paraId="541E3AF9" w14:textId="77777777" w:rsidR="009D0509" w:rsidRDefault="009D0509" w:rsidP="009D0509">
      <w:pPr>
        <w:spacing w:line="252" w:lineRule="auto"/>
        <w:ind w:left="720"/>
        <w:jc w:val="both"/>
        <w:rPr>
          <w:rFonts w:eastAsia="Arial"/>
        </w:rPr>
      </w:pPr>
      <w:r>
        <w:rPr>
          <w:b/>
          <w:bCs/>
        </w:rPr>
        <w:t xml:space="preserve">“TERCERA: Alcance. </w:t>
      </w:r>
      <w:r>
        <w:t xml:space="preserve">La presente guía está estructurada bajo el principio de “adopte o explique” y, por lo tanto, sus recomendaciones deben ser adoptadas conforme a este principio por las Empresas de la Economía Solidaria (ESS) incluidas en el ámbito de aplicación de esta Circular. La obligatoriedad establecida en la Circular está relacionada con la adopción de la guía por parte de las empresas solidarias supervisadas, relacionadas en el ámbito de aplicación, a su turno las recomendaciones son en todo caso bajo el principio de “adopte o explique”. </w:t>
      </w:r>
    </w:p>
    <w:p w14:paraId="26C93481" w14:textId="77777777" w:rsidR="009D0509" w:rsidRDefault="009D0509" w:rsidP="009D0509">
      <w:pPr>
        <w:spacing w:line="252" w:lineRule="auto"/>
        <w:ind w:left="720"/>
        <w:jc w:val="both"/>
      </w:pPr>
    </w:p>
    <w:p w14:paraId="0FF00EBC" w14:textId="77777777" w:rsidR="009D0509" w:rsidRDefault="009D0509" w:rsidP="009D0509">
      <w:pPr>
        <w:spacing w:line="252" w:lineRule="auto"/>
        <w:ind w:left="720"/>
        <w:jc w:val="both"/>
        <w:rPr>
          <w:rFonts w:ascii="Verdana" w:eastAsia="Verdana" w:hAnsi="Verdana" w:cs="Verdana"/>
          <w:b/>
          <w:i w:val="0"/>
          <w:color w:val="000000"/>
          <w:sz w:val="22"/>
          <w:szCs w:val="22"/>
          <w:highlight w:val="white"/>
        </w:rPr>
      </w:pPr>
      <w:r>
        <w:t>El principio de "adopte o explique" se aplicará cuando la empresa solidaria supervisada no pueda adoptar alguna de las recomendaciones establecidas en la Guía, informando de manera clara, razonada y justificada el motivo de su decisión. En todo caso, la empresa solidaria no puede ampararse en el principio de “adopte o explique” para inaplicar normas que le son exigibles”.</w:t>
      </w:r>
    </w:p>
    <w:p w14:paraId="0771FBEC" w14:textId="77777777" w:rsidR="009D0509" w:rsidRDefault="009D0509" w:rsidP="009D0509">
      <w:pPr>
        <w:spacing w:line="252" w:lineRule="auto"/>
        <w:jc w:val="both"/>
        <w:rPr>
          <w:rFonts w:ascii="Verdana" w:eastAsia="Verdana" w:hAnsi="Verdana" w:cs="Verdana"/>
          <w:b/>
          <w:i w:val="0"/>
          <w:color w:val="000000"/>
          <w:sz w:val="22"/>
          <w:szCs w:val="22"/>
          <w:highlight w:val="white"/>
        </w:rPr>
      </w:pPr>
    </w:p>
    <w:p w14:paraId="3ADA33FF" w14:textId="77777777" w:rsidR="009D0509" w:rsidRDefault="009D0509" w:rsidP="009D0509">
      <w:pPr>
        <w:spacing w:line="252" w:lineRule="auto"/>
        <w:jc w:val="both"/>
        <w:rPr>
          <w:rFonts w:ascii="Verdana" w:eastAsia="Verdana" w:hAnsi="Verdana" w:cs="Verdana"/>
          <w:i w:val="0"/>
          <w:color w:val="000000"/>
          <w:sz w:val="22"/>
          <w:szCs w:val="22"/>
          <w:highlight w:val="white"/>
        </w:rPr>
      </w:pPr>
      <w:r>
        <w:rPr>
          <w:rFonts w:ascii="Verdana" w:eastAsia="Verdana" w:hAnsi="Verdana" w:cs="Verdana"/>
          <w:b/>
          <w:i w:val="0"/>
          <w:color w:val="000000"/>
          <w:sz w:val="22"/>
          <w:szCs w:val="22"/>
          <w:highlight w:val="white"/>
        </w:rPr>
        <w:t xml:space="preserve">TERCERA: </w:t>
      </w:r>
      <w:r>
        <w:rPr>
          <w:rFonts w:ascii="Verdana" w:eastAsia="Verdana" w:hAnsi="Verdana" w:cs="Verdana"/>
          <w:i w:val="0"/>
          <w:color w:val="000000"/>
          <w:sz w:val="22"/>
          <w:szCs w:val="22"/>
          <w:highlight w:val="white"/>
        </w:rPr>
        <w:t>Modificar la instrucción octava de la Circular Externa No. 88 de 2025, la cual quedará así:</w:t>
      </w:r>
    </w:p>
    <w:p w14:paraId="60099E5E" w14:textId="77777777" w:rsidR="009D0509" w:rsidRDefault="009D0509" w:rsidP="009D0509">
      <w:pPr>
        <w:spacing w:line="252" w:lineRule="auto"/>
        <w:jc w:val="both"/>
        <w:rPr>
          <w:rFonts w:ascii="Verdana" w:eastAsia="Verdana" w:hAnsi="Verdana" w:cs="Verdana"/>
          <w:b/>
          <w:i w:val="0"/>
          <w:color w:val="000000"/>
          <w:sz w:val="22"/>
          <w:szCs w:val="22"/>
          <w:highlight w:val="white"/>
        </w:rPr>
      </w:pPr>
    </w:p>
    <w:p w14:paraId="6C0D6918" w14:textId="29ABA2F7" w:rsidR="009D0509" w:rsidRDefault="009D0509" w:rsidP="009D0509">
      <w:pPr>
        <w:spacing w:line="252" w:lineRule="auto"/>
        <w:ind w:left="720"/>
        <w:jc w:val="both"/>
        <w:rPr>
          <w:rFonts w:ascii="Verdana" w:eastAsia="Verdana" w:hAnsi="Verdana" w:cs="Verdana"/>
          <w:color w:val="000000"/>
          <w:sz w:val="22"/>
          <w:szCs w:val="22"/>
          <w:highlight w:val="white"/>
        </w:rPr>
      </w:pPr>
      <w:r>
        <w:rPr>
          <w:rFonts w:ascii="Verdana" w:eastAsia="Verdana" w:hAnsi="Verdana" w:cs="Verdana"/>
          <w:b/>
          <w:color w:val="000000"/>
          <w:sz w:val="22"/>
          <w:szCs w:val="22"/>
          <w:highlight w:val="white"/>
        </w:rPr>
        <w:t xml:space="preserve">“OCTAVA: Sanciones.  </w:t>
      </w:r>
      <w:r>
        <w:rPr>
          <w:rFonts w:ascii="Verdana" w:eastAsia="Verdana" w:hAnsi="Verdana" w:cs="Verdana"/>
          <w:color w:val="000000"/>
          <w:sz w:val="22"/>
          <w:szCs w:val="22"/>
          <w:highlight w:val="white"/>
        </w:rPr>
        <w:t>El incumplimiento de las disposiciones obligatorias contenidas en la presente Circular que correspondan a vulneración de normas legales o estatutarias dará lugar a la imposición de las sanciones administrativas señaladas en los numerales 6 y 7 del artículo 36 de la Ley 454 de 1998, numerales 1 y 2 del artículo 2 del Decreto 186 de 2004.”</w:t>
      </w:r>
    </w:p>
    <w:p w14:paraId="3897B672" w14:textId="44202B5D" w:rsidR="009D0509" w:rsidRDefault="009D0509" w:rsidP="009D0509">
      <w:pPr>
        <w:spacing w:line="252" w:lineRule="auto"/>
        <w:ind w:left="720"/>
        <w:jc w:val="both"/>
        <w:rPr>
          <w:rFonts w:ascii="Verdana" w:eastAsia="Verdana" w:hAnsi="Verdana" w:cs="Verdana"/>
          <w:color w:val="000000"/>
          <w:sz w:val="22"/>
          <w:szCs w:val="22"/>
          <w:highlight w:val="white"/>
        </w:rPr>
      </w:pPr>
    </w:p>
    <w:p w14:paraId="6729BB07" w14:textId="77777777" w:rsidR="009D0509" w:rsidRDefault="009D0509" w:rsidP="009D0509">
      <w:pPr>
        <w:spacing w:line="252" w:lineRule="auto"/>
        <w:jc w:val="both"/>
        <w:rPr>
          <w:rFonts w:ascii="Verdana" w:eastAsia="Verdana" w:hAnsi="Verdana" w:cs="Verdana"/>
          <w:bCs/>
          <w:i w:val="0"/>
          <w:sz w:val="22"/>
          <w:szCs w:val="22"/>
          <w:lang w:eastAsia="es-CO"/>
        </w:rPr>
      </w:pPr>
      <w:r>
        <w:rPr>
          <w:rFonts w:ascii="Verdana" w:eastAsia="Verdana" w:hAnsi="Verdana" w:cs="Verdana"/>
          <w:i w:val="0"/>
          <w:iCs/>
          <w:color w:val="000000"/>
          <w:sz w:val="22"/>
          <w:szCs w:val="22"/>
          <w:highlight w:val="white"/>
        </w:rPr>
        <w:t xml:space="preserve">A </w:t>
      </w:r>
      <w:r>
        <w:rPr>
          <w:rFonts w:ascii="Verdana" w:eastAsia="Verdana" w:hAnsi="Verdana" w:cs="Verdana"/>
          <w:i w:val="0"/>
          <w:iCs/>
          <w:sz w:val="22"/>
          <w:szCs w:val="22"/>
          <w:highlight w:val="white"/>
        </w:rPr>
        <w:t xml:space="preserve">continuación, se relacionan las recomendaciones cuyo origen es de carácter legal y por ende su cumplimiento es obligatorio, contenidas en la </w:t>
      </w:r>
      <w:r>
        <w:rPr>
          <w:rFonts w:ascii="Verdana" w:eastAsia="Verdana" w:hAnsi="Verdana" w:cs="Verdana"/>
          <w:b/>
          <w:i w:val="0"/>
          <w:sz w:val="22"/>
          <w:szCs w:val="22"/>
        </w:rPr>
        <w:t xml:space="preserve">Guía para la Implementación de Mejores Prácticas de Buen Gobierno para Empresas Solidarias Vigiladas, </w:t>
      </w:r>
      <w:r>
        <w:rPr>
          <w:rFonts w:ascii="Verdana" w:eastAsia="Verdana" w:hAnsi="Verdana" w:cs="Verdana"/>
          <w:bCs/>
          <w:i w:val="0"/>
          <w:sz w:val="22"/>
          <w:szCs w:val="22"/>
        </w:rPr>
        <w:t>las cuales deberán ser adoptadas por las empresas solidarias vigiladas:</w:t>
      </w:r>
    </w:p>
    <w:p w14:paraId="46F8E3C5" w14:textId="77777777" w:rsidR="009D0509" w:rsidRDefault="009D0509" w:rsidP="009D0509">
      <w:pPr>
        <w:spacing w:line="252" w:lineRule="auto"/>
        <w:jc w:val="both"/>
        <w:rPr>
          <w:rFonts w:eastAsia="Arial"/>
          <w:i w:val="0"/>
          <w:sz w:val="21"/>
          <w:szCs w:val="21"/>
        </w:rPr>
      </w:pPr>
      <w:r>
        <w:rPr>
          <w:i w:val="0"/>
          <w:sz w:val="21"/>
          <w:szCs w:val="21"/>
        </w:rPr>
        <w:fldChar w:fldCharType="begin"/>
      </w:r>
      <w:r>
        <w:rPr>
          <w:i w:val="0"/>
          <w:sz w:val="21"/>
          <w:szCs w:val="21"/>
        </w:rPr>
        <w:instrText xml:space="preserve"> LINK Excel.Sheet.12 "C:\\Users\\cbenitez\\Downloads\\Medidas obligatorias - Guía Buen Gobierno  (1).xlsx" "Hoja 1!F2C2:F23C4" \a \f 4 \h  \* MERGEFORMAT </w:instrText>
      </w:r>
      <w:r>
        <w:rPr>
          <w:i w:val="0"/>
          <w:sz w:val="21"/>
          <w:szCs w:val="21"/>
        </w:rPr>
        <w:fldChar w:fldCharType="separate"/>
      </w:r>
    </w:p>
    <w:tbl>
      <w:tblPr>
        <w:tblW w:w="0" w:type="auto"/>
        <w:tblCellMar>
          <w:left w:w="70" w:type="dxa"/>
          <w:right w:w="70" w:type="dxa"/>
        </w:tblCellMar>
        <w:tblLook w:val="04A0" w:firstRow="1" w:lastRow="0" w:firstColumn="1" w:lastColumn="0" w:noHBand="0" w:noVBand="1"/>
      </w:tblPr>
      <w:tblGrid>
        <w:gridCol w:w="1697"/>
        <w:gridCol w:w="4651"/>
        <w:gridCol w:w="2765"/>
      </w:tblGrid>
      <w:tr w:rsidR="009D0509" w14:paraId="3536788E" w14:textId="77777777" w:rsidTr="009D0509">
        <w:trPr>
          <w:trHeight w:val="643"/>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5546C971" w14:textId="77777777" w:rsidR="009D0509" w:rsidRDefault="009D0509">
            <w:pPr>
              <w:jc w:val="center"/>
              <w:rPr>
                <w:rFonts w:ascii="Verdana" w:hAnsi="Verdana"/>
                <w:b/>
                <w:bCs/>
                <w:i w:val="0"/>
                <w:sz w:val="16"/>
                <w:szCs w:val="16"/>
              </w:rPr>
            </w:pPr>
            <w:r>
              <w:rPr>
                <w:rFonts w:ascii="Verdana" w:hAnsi="Verdana"/>
                <w:b/>
                <w:bCs/>
                <w:i w:val="0"/>
                <w:sz w:val="16"/>
                <w:szCs w:val="16"/>
              </w:rPr>
              <w:lastRenderedPageBreak/>
              <w:t>Numero de recomendación en la guía</w:t>
            </w:r>
          </w:p>
        </w:tc>
        <w:tc>
          <w:tcPr>
            <w:tcW w:w="0" w:type="auto"/>
            <w:tcBorders>
              <w:top w:val="single" w:sz="4" w:space="0" w:color="auto"/>
              <w:left w:val="nil"/>
              <w:bottom w:val="single" w:sz="4" w:space="0" w:color="auto"/>
              <w:right w:val="single" w:sz="4" w:space="0" w:color="auto"/>
            </w:tcBorders>
            <w:vAlign w:val="center"/>
            <w:hideMark/>
          </w:tcPr>
          <w:p w14:paraId="17AADBD4" w14:textId="77777777" w:rsidR="009D0509" w:rsidRDefault="009D0509">
            <w:pPr>
              <w:jc w:val="center"/>
              <w:rPr>
                <w:rFonts w:ascii="Verdana" w:hAnsi="Verdana"/>
                <w:b/>
                <w:bCs/>
                <w:i w:val="0"/>
                <w:sz w:val="16"/>
                <w:szCs w:val="16"/>
              </w:rPr>
            </w:pPr>
            <w:r>
              <w:rPr>
                <w:rFonts w:ascii="Verdana" w:hAnsi="Verdana"/>
                <w:b/>
                <w:bCs/>
                <w:i w:val="0"/>
                <w:sz w:val="16"/>
                <w:szCs w:val="16"/>
              </w:rPr>
              <w:t xml:space="preserve">Recomendación </w:t>
            </w:r>
          </w:p>
        </w:tc>
        <w:tc>
          <w:tcPr>
            <w:tcW w:w="0" w:type="auto"/>
            <w:tcBorders>
              <w:top w:val="single" w:sz="4" w:space="0" w:color="auto"/>
              <w:left w:val="nil"/>
              <w:bottom w:val="single" w:sz="4" w:space="0" w:color="auto"/>
              <w:right w:val="single" w:sz="4" w:space="0" w:color="auto"/>
            </w:tcBorders>
            <w:vAlign w:val="center"/>
            <w:hideMark/>
          </w:tcPr>
          <w:p w14:paraId="10C01D73" w14:textId="77777777" w:rsidR="009D0509" w:rsidRDefault="009D0509">
            <w:pPr>
              <w:jc w:val="center"/>
              <w:rPr>
                <w:rFonts w:ascii="Verdana" w:hAnsi="Verdana"/>
                <w:b/>
                <w:bCs/>
                <w:i w:val="0"/>
                <w:sz w:val="16"/>
                <w:szCs w:val="16"/>
              </w:rPr>
            </w:pPr>
            <w:r>
              <w:rPr>
                <w:rFonts w:ascii="Verdana" w:hAnsi="Verdana"/>
                <w:b/>
                <w:bCs/>
                <w:i w:val="0"/>
                <w:sz w:val="16"/>
                <w:szCs w:val="16"/>
              </w:rPr>
              <w:t xml:space="preserve">Fuente normativa </w:t>
            </w:r>
          </w:p>
        </w:tc>
      </w:tr>
      <w:tr w:rsidR="009D0509" w14:paraId="5752003D" w14:textId="77777777" w:rsidTr="009D0509">
        <w:trPr>
          <w:trHeight w:val="1530"/>
        </w:trPr>
        <w:tc>
          <w:tcPr>
            <w:tcW w:w="0" w:type="auto"/>
            <w:tcBorders>
              <w:top w:val="nil"/>
              <w:left w:val="single" w:sz="4" w:space="0" w:color="auto"/>
              <w:bottom w:val="single" w:sz="4" w:space="0" w:color="auto"/>
              <w:right w:val="single" w:sz="4" w:space="0" w:color="auto"/>
            </w:tcBorders>
            <w:vAlign w:val="center"/>
            <w:hideMark/>
          </w:tcPr>
          <w:p w14:paraId="05BBA6C6"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1.1.</w:t>
            </w:r>
          </w:p>
        </w:tc>
        <w:tc>
          <w:tcPr>
            <w:tcW w:w="0" w:type="auto"/>
            <w:tcBorders>
              <w:top w:val="nil"/>
              <w:left w:val="nil"/>
              <w:bottom w:val="single" w:sz="4" w:space="0" w:color="auto"/>
              <w:right w:val="single" w:sz="4" w:space="0" w:color="auto"/>
            </w:tcBorders>
            <w:vAlign w:val="center"/>
            <w:hideMark/>
          </w:tcPr>
          <w:p w14:paraId="0AF99C7A"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 empresa solidaria deberá proporcionar un trato igualitario a todos los asociados, personas naturales y jurídicas, lo que supone el acceso a información que permita un conocimiento apropiado por parte de sus grupos de interés sobre la marcha y situación de la empresa solidaria y disponer de elementos de juicio suficientes para la toma de decisiones        de manera informada. No deben establecerse mecanismos que den prioridad en el acceso a la información a unos asociados por encima de otros.</w:t>
            </w:r>
          </w:p>
        </w:tc>
        <w:tc>
          <w:tcPr>
            <w:tcW w:w="0" w:type="auto"/>
            <w:tcBorders>
              <w:top w:val="nil"/>
              <w:left w:val="nil"/>
              <w:bottom w:val="single" w:sz="4" w:space="0" w:color="auto"/>
              <w:right w:val="single" w:sz="4" w:space="0" w:color="auto"/>
            </w:tcBorders>
            <w:vAlign w:val="center"/>
            <w:hideMark/>
          </w:tcPr>
          <w:p w14:paraId="24F49DAF" w14:textId="77777777" w:rsidR="009D0509" w:rsidRDefault="009D0509">
            <w:pPr>
              <w:jc w:val="both"/>
              <w:rPr>
                <w:rFonts w:ascii="Verdana" w:hAnsi="Verdana"/>
                <w:i w:val="0"/>
                <w:color w:val="000000"/>
                <w:sz w:val="16"/>
                <w:szCs w:val="16"/>
              </w:rPr>
            </w:pPr>
            <w:r>
              <w:rPr>
                <w:rFonts w:ascii="Verdana" w:hAnsi="Verdana"/>
                <w:i w:val="0"/>
                <w:color w:val="000000"/>
                <w:sz w:val="16"/>
                <w:szCs w:val="16"/>
              </w:rPr>
              <w:t xml:space="preserve">Ley 454 de 1998 artículos 4 y 5. </w:t>
            </w:r>
            <w:r>
              <w:rPr>
                <w:rFonts w:ascii="Verdana" w:hAnsi="Verdana"/>
                <w:i w:val="0"/>
                <w:color w:val="000000"/>
                <w:sz w:val="16"/>
                <w:szCs w:val="16"/>
              </w:rPr>
              <w:br/>
              <w:t xml:space="preserve">Decreto 1068 del 2025, art 2.11.11.2.2. </w:t>
            </w:r>
          </w:p>
        </w:tc>
      </w:tr>
      <w:tr w:rsidR="009D0509" w14:paraId="69D2B45D"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7FE010CD"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1.3</w:t>
            </w:r>
          </w:p>
        </w:tc>
        <w:tc>
          <w:tcPr>
            <w:tcW w:w="0" w:type="auto"/>
            <w:tcBorders>
              <w:top w:val="nil"/>
              <w:left w:val="nil"/>
              <w:bottom w:val="single" w:sz="4" w:space="0" w:color="auto"/>
              <w:right w:val="single" w:sz="4" w:space="0" w:color="auto"/>
            </w:tcBorders>
            <w:vAlign w:val="center"/>
            <w:hideMark/>
          </w:tcPr>
          <w:p w14:paraId="51F19736"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 empresa solidaria deberá ofrecer acceso, de modo permanente, a actividades de formación en economía solidaria y cooperativismo a todos</w:t>
            </w:r>
            <w:r>
              <w:rPr>
                <w:rFonts w:ascii="Verdana" w:hAnsi="Verdana"/>
                <w:i w:val="0"/>
                <w:color w:val="000000"/>
                <w:sz w:val="16"/>
                <w:szCs w:val="16"/>
              </w:rPr>
              <w:br/>
              <w:t xml:space="preserve">sus asociados y trabajadores, así como a los administradores en la gestión empresarial, dando cumplimiento al principio, que invita a la formación de sus miembros, de manera permanente, oportuna y progresiva. </w:t>
            </w:r>
          </w:p>
        </w:tc>
        <w:tc>
          <w:tcPr>
            <w:tcW w:w="0" w:type="auto"/>
            <w:tcBorders>
              <w:top w:val="nil"/>
              <w:left w:val="nil"/>
              <w:bottom w:val="single" w:sz="4" w:space="0" w:color="auto"/>
              <w:right w:val="single" w:sz="4" w:space="0" w:color="auto"/>
            </w:tcBorders>
            <w:vAlign w:val="center"/>
            <w:hideMark/>
          </w:tcPr>
          <w:p w14:paraId="3C42CD81" w14:textId="77777777" w:rsidR="009D0509" w:rsidRDefault="009D0509">
            <w:pPr>
              <w:rPr>
                <w:rFonts w:ascii="Verdana" w:hAnsi="Verdana"/>
                <w:i w:val="0"/>
                <w:color w:val="000000"/>
                <w:sz w:val="16"/>
                <w:szCs w:val="16"/>
              </w:rPr>
            </w:pPr>
            <w:r>
              <w:rPr>
                <w:rFonts w:ascii="Verdana" w:hAnsi="Verdana"/>
                <w:i w:val="0"/>
                <w:color w:val="000000"/>
                <w:sz w:val="16"/>
                <w:szCs w:val="16"/>
              </w:rPr>
              <w:t>Ley 454 de 1998 artículos 4 y 5.</w:t>
            </w:r>
          </w:p>
        </w:tc>
      </w:tr>
      <w:tr w:rsidR="009D0509" w14:paraId="5776D203" w14:textId="77777777" w:rsidTr="009D0509">
        <w:trPr>
          <w:trHeight w:val="510"/>
        </w:trPr>
        <w:tc>
          <w:tcPr>
            <w:tcW w:w="0" w:type="auto"/>
            <w:tcBorders>
              <w:top w:val="nil"/>
              <w:left w:val="single" w:sz="4" w:space="0" w:color="auto"/>
              <w:bottom w:val="single" w:sz="4" w:space="0" w:color="auto"/>
              <w:right w:val="single" w:sz="4" w:space="0" w:color="auto"/>
            </w:tcBorders>
            <w:vAlign w:val="center"/>
            <w:hideMark/>
          </w:tcPr>
          <w:p w14:paraId="535E4035"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1.5</w:t>
            </w:r>
          </w:p>
        </w:tc>
        <w:tc>
          <w:tcPr>
            <w:tcW w:w="0" w:type="auto"/>
            <w:tcBorders>
              <w:top w:val="nil"/>
              <w:left w:val="nil"/>
              <w:bottom w:val="single" w:sz="4" w:space="0" w:color="auto"/>
              <w:right w:val="single" w:sz="4" w:space="0" w:color="auto"/>
            </w:tcBorders>
            <w:vAlign w:val="center"/>
            <w:hideMark/>
          </w:tcPr>
          <w:p w14:paraId="61D204B9"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 empresa solidaria deberá asegurarse que sus asociados conozcan sus deberes, derechos y obligaciones.</w:t>
            </w:r>
          </w:p>
        </w:tc>
        <w:tc>
          <w:tcPr>
            <w:tcW w:w="0" w:type="auto"/>
            <w:tcBorders>
              <w:top w:val="nil"/>
              <w:left w:val="nil"/>
              <w:bottom w:val="single" w:sz="4" w:space="0" w:color="auto"/>
              <w:right w:val="single" w:sz="4" w:space="0" w:color="auto"/>
            </w:tcBorders>
            <w:vAlign w:val="center"/>
            <w:hideMark/>
          </w:tcPr>
          <w:p w14:paraId="510C1462" w14:textId="77777777" w:rsidR="009D0509" w:rsidRDefault="009D0509">
            <w:pPr>
              <w:jc w:val="both"/>
              <w:rPr>
                <w:rFonts w:ascii="Verdana" w:hAnsi="Verdana"/>
                <w:i w:val="0"/>
                <w:color w:val="000000"/>
                <w:sz w:val="16"/>
                <w:szCs w:val="16"/>
              </w:rPr>
            </w:pPr>
            <w:r>
              <w:rPr>
                <w:rFonts w:ascii="Verdana" w:hAnsi="Verdana"/>
                <w:i w:val="0"/>
                <w:color w:val="000000"/>
                <w:sz w:val="16"/>
                <w:szCs w:val="16"/>
              </w:rPr>
              <w:t>Decreto 1068 del 2025, artículo 2.11.11.2.2. Numeral 1.</w:t>
            </w:r>
          </w:p>
        </w:tc>
      </w:tr>
      <w:tr w:rsidR="009D0509" w14:paraId="67EDD089" w14:textId="77777777" w:rsidTr="009D0509">
        <w:trPr>
          <w:trHeight w:val="1530"/>
        </w:trPr>
        <w:tc>
          <w:tcPr>
            <w:tcW w:w="0" w:type="auto"/>
            <w:tcBorders>
              <w:top w:val="nil"/>
              <w:left w:val="single" w:sz="4" w:space="0" w:color="auto"/>
              <w:bottom w:val="single" w:sz="4" w:space="0" w:color="auto"/>
              <w:right w:val="single" w:sz="4" w:space="0" w:color="auto"/>
            </w:tcBorders>
            <w:vAlign w:val="center"/>
            <w:hideMark/>
          </w:tcPr>
          <w:p w14:paraId="046391D6"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3.1</w:t>
            </w:r>
          </w:p>
        </w:tc>
        <w:tc>
          <w:tcPr>
            <w:tcW w:w="0" w:type="auto"/>
            <w:tcBorders>
              <w:top w:val="nil"/>
              <w:left w:val="nil"/>
              <w:bottom w:val="single" w:sz="4" w:space="0" w:color="auto"/>
              <w:right w:val="single" w:sz="4" w:space="0" w:color="auto"/>
            </w:tcBorders>
            <w:vAlign w:val="center"/>
            <w:hideMark/>
          </w:tcPr>
          <w:p w14:paraId="7ADE82EC" w14:textId="77777777" w:rsidR="009D0509" w:rsidRDefault="009D0509">
            <w:pPr>
              <w:jc w:val="both"/>
              <w:rPr>
                <w:rFonts w:ascii="Verdana" w:hAnsi="Verdana"/>
                <w:i w:val="0"/>
                <w:color w:val="000000"/>
                <w:sz w:val="16"/>
                <w:szCs w:val="16"/>
              </w:rPr>
            </w:pPr>
            <w:r>
              <w:rPr>
                <w:rFonts w:ascii="Verdana" w:hAnsi="Verdana"/>
                <w:i w:val="0"/>
                <w:color w:val="000000"/>
                <w:sz w:val="16"/>
                <w:szCs w:val="16"/>
              </w:rPr>
              <w:t xml:space="preserve">La aprobación de la política general de remuneración del órgano permanente de administración, órgano de control y en el caso de la Alta Gerencia cuando a ésta se le reconoce un componente variable en la remuneración vinculado al resultado de la empresa solidaria y ponderado por los resultados del balance social de la ESS, serán responsabilidad, única y exclusivamente, de la Asamblea General, de acuerdo con el tamaño y la capacidad de la empresa solidaria. </w:t>
            </w:r>
          </w:p>
        </w:tc>
        <w:tc>
          <w:tcPr>
            <w:tcW w:w="0" w:type="auto"/>
            <w:tcBorders>
              <w:top w:val="nil"/>
              <w:left w:val="nil"/>
              <w:bottom w:val="single" w:sz="4" w:space="0" w:color="auto"/>
              <w:right w:val="single" w:sz="4" w:space="0" w:color="auto"/>
            </w:tcBorders>
            <w:vAlign w:val="center"/>
            <w:hideMark/>
          </w:tcPr>
          <w:p w14:paraId="4551A32D" w14:textId="77777777" w:rsidR="009D0509" w:rsidRDefault="009D0509">
            <w:pPr>
              <w:jc w:val="both"/>
              <w:rPr>
                <w:rFonts w:ascii="Verdana" w:hAnsi="Verdana"/>
                <w:i w:val="0"/>
                <w:color w:val="000000"/>
                <w:sz w:val="16"/>
                <w:szCs w:val="16"/>
              </w:rPr>
            </w:pPr>
            <w:r>
              <w:rPr>
                <w:rFonts w:ascii="Verdana" w:hAnsi="Verdana"/>
                <w:i w:val="0"/>
                <w:color w:val="000000"/>
                <w:sz w:val="16"/>
                <w:szCs w:val="16"/>
              </w:rPr>
              <w:t>Decreto 1068 del 2025, artículo 2.11.11.4.3, 2.11.11.6.4.</w:t>
            </w:r>
            <w:r>
              <w:rPr>
                <w:rFonts w:ascii="Verdana" w:hAnsi="Verdana"/>
                <w:i w:val="0"/>
                <w:color w:val="000000"/>
                <w:sz w:val="16"/>
                <w:szCs w:val="16"/>
              </w:rPr>
              <w:br/>
              <w:t xml:space="preserve"> </w:t>
            </w:r>
          </w:p>
        </w:tc>
      </w:tr>
      <w:tr w:rsidR="009D0509" w14:paraId="1D25E988"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2965F3C8"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3.5</w:t>
            </w:r>
          </w:p>
        </w:tc>
        <w:tc>
          <w:tcPr>
            <w:tcW w:w="0" w:type="auto"/>
            <w:tcBorders>
              <w:top w:val="nil"/>
              <w:left w:val="nil"/>
              <w:bottom w:val="single" w:sz="4" w:space="0" w:color="auto"/>
              <w:right w:val="single" w:sz="4" w:space="0" w:color="auto"/>
            </w:tcBorders>
            <w:vAlign w:val="center"/>
            <w:hideMark/>
          </w:tcPr>
          <w:p w14:paraId="47461B98" w14:textId="77777777" w:rsidR="009D0509" w:rsidRDefault="009D0509">
            <w:pPr>
              <w:jc w:val="both"/>
              <w:rPr>
                <w:rFonts w:ascii="Verdana" w:hAnsi="Verdana"/>
                <w:i w:val="0"/>
                <w:color w:val="000000"/>
                <w:sz w:val="16"/>
                <w:szCs w:val="16"/>
              </w:rPr>
            </w:pPr>
            <w:r>
              <w:rPr>
                <w:rFonts w:ascii="Verdana" w:hAnsi="Verdana"/>
                <w:i w:val="0"/>
                <w:color w:val="000000"/>
                <w:sz w:val="16"/>
                <w:szCs w:val="16"/>
              </w:rPr>
              <w:t>Aprobar los informes anuales de la empresa solidaria los cuales deben contener un componente referente a los resultados del balance social de la empresa, y lo establecido en la Circular Básica Contable y Financiera, en la materia.</w:t>
            </w:r>
          </w:p>
        </w:tc>
        <w:tc>
          <w:tcPr>
            <w:tcW w:w="0" w:type="auto"/>
            <w:tcBorders>
              <w:top w:val="nil"/>
              <w:left w:val="nil"/>
              <w:bottom w:val="single" w:sz="4" w:space="0" w:color="auto"/>
              <w:right w:val="single" w:sz="4" w:space="0" w:color="auto"/>
            </w:tcBorders>
            <w:vAlign w:val="center"/>
            <w:hideMark/>
          </w:tcPr>
          <w:p w14:paraId="679D6B2F" w14:textId="77777777" w:rsidR="009D0509" w:rsidRDefault="009D0509">
            <w:pPr>
              <w:jc w:val="both"/>
              <w:rPr>
                <w:rFonts w:ascii="Verdana" w:hAnsi="Verdana"/>
                <w:i w:val="0"/>
                <w:color w:val="000000"/>
                <w:sz w:val="16"/>
                <w:szCs w:val="16"/>
              </w:rPr>
            </w:pPr>
            <w:r>
              <w:rPr>
                <w:rFonts w:ascii="Verdana" w:hAnsi="Verdana"/>
                <w:i w:val="0"/>
                <w:color w:val="000000"/>
                <w:sz w:val="16"/>
                <w:szCs w:val="16"/>
              </w:rPr>
              <w:t>Ley 79 de 1988 artículo 34, numeral 4, Circular Básica Contable y Financiera y las Circulares externas No. 23 de 2020 para cooperativas de ahorro y crédito y la No. 87 de 2025 para fondos de empleados.</w:t>
            </w:r>
          </w:p>
        </w:tc>
      </w:tr>
      <w:tr w:rsidR="009D0509" w14:paraId="7FA2B9F8" w14:textId="77777777" w:rsidTr="009D0509">
        <w:trPr>
          <w:trHeight w:val="2040"/>
        </w:trPr>
        <w:tc>
          <w:tcPr>
            <w:tcW w:w="0" w:type="auto"/>
            <w:tcBorders>
              <w:top w:val="nil"/>
              <w:left w:val="single" w:sz="4" w:space="0" w:color="auto"/>
              <w:bottom w:val="single" w:sz="4" w:space="0" w:color="auto"/>
              <w:right w:val="single" w:sz="4" w:space="0" w:color="auto"/>
            </w:tcBorders>
            <w:vAlign w:val="center"/>
            <w:hideMark/>
          </w:tcPr>
          <w:p w14:paraId="527CB8C2"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5.1 a)</w:t>
            </w:r>
          </w:p>
        </w:tc>
        <w:tc>
          <w:tcPr>
            <w:tcW w:w="0" w:type="auto"/>
            <w:tcBorders>
              <w:top w:val="nil"/>
              <w:left w:val="nil"/>
              <w:bottom w:val="single" w:sz="4" w:space="0" w:color="auto"/>
              <w:right w:val="single" w:sz="4" w:space="0" w:color="auto"/>
            </w:tcBorders>
            <w:vAlign w:val="center"/>
            <w:hideMark/>
          </w:tcPr>
          <w:p w14:paraId="15C8C6B7" w14:textId="77777777" w:rsidR="009D0509" w:rsidRDefault="009D0509">
            <w:pPr>
              <w:jc w:val="both"/>
              <w:rPr>
                <w:rFonts w:ascii="Verdana" w:hAnsi="Verdana"/>
                <w:i w:val="0"/>
                <w:color w:val="000000"/>
                <w:sz w:val="16"/>
                <w:szCs w:val="16"/>
              </w:rPr>
            </w:pPr>
            <w:r>
              <w:rPr>
                <w:rFonts w:ascii="Verdana" w:hAnsi="Verdana"/>
                <w:i w:val="0"/>
                <w:color w:val="000000"/>
                <w:sz w:val="16"/>
                <w:szCs w:val="16"/>
              </w:rPr>
              <w:t>Cuando dentro de una asamblea se vayan a realizar elecciones de órganos permanentes de administración, control y vigilancia, con la convocatoria se acompañarán los perfiles que deberán cumplir los candidatos que se postulen y las reglas de votación con las que se realizará la elección. Adicionalmente, las empresas solidarias establecerán políticas de información, para divulgar el perfil de los candidatos con anterioridad a la elección del respectivo órgano, utilizando los canales de comunicación con los que cuenta la empresa solidaria para tal fin.</w:t>
            </w:r>
          </w:p>
        </w:tc>
        <w:tc>
          <w:tcPr>
            <w:tcW w:w="0" w:type="auto"/>
            <w:tcBorders>
              <w:top w:val="nil"/>
              <w:left w:val="nil"/>
              <w:bottom w:val="single" w:sz="4" w:space="0" w:color="auto"/>
              <w:right w:val="single" w:sz="4" w:space="0" w:color="auto"/>
            </w:tcBorders>
            <w:vAlign w:val="center"/>
            <w:hideMark/>
          </w:tcPr>
          <w:p w14:paraId="527C24F5" w14:textId="77777777" w:rsidR="009D0509" w:rsidRDefault="009D0509">
            <w:pPr>
              <w:rPr>
                <w:rFonts w:ascii="Verdana" w:hAnsi="Verdana"/>
                <w:i w:val="0"/>
                <w:color w:val="000000"/>
                <w:sz w:val="16"/>
                <w:szCs w:val="16"/>
              </w:rPr>
            </w:pPr>
            <w:r>
              <w:rPr>
                <w:rFonts w:ascii="Verdana" w:hAnsi="Verdana"/>
                <w:i w:val="0"/>
                <w:color w:val="000000"/>
                <w:sz w:val="16"/>
                <w:szCs w:val="16"/>
              </w:rPr>
              <w:t>Numeral 2, Artículo 2.11.11.2.3. del Decreto 962 de 2018.</w:t>
            </w:r>
          </w:p>
        </w:tc>
      </w:tr>
      <w:tr w:rsidR="009D0509" w14:paraId="589D0919"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20C55FAC"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lastRenderedPageBreak/>
              <w:t>5.1 c)</w:t>
            </w:r>
          </w:p>
        </w:tc>
        <w:tc>
          <w:tcPr>
            <w:tcW w:w="0" w:type="auto"/>
            <w:tcBorders>
              <w:top w:val="nil"/>
              <w:left w:val="nil"/>
              <w:bottom w:val="single" w:sz="4" w:space="0" w:color="auto"/>
              <w:right w:val="single" w:sz="4" w:space="0" w:color="auto"/>
            </w:tcBorders>
            <w:vAlign w:val="center"/>
            <w:hideMark/>
          </w:tcPr>
          <w:p w14:paraId="4EF417A2"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Las empresas solidarias deberán cumplir con las formalidades de los actos de notificación de la convocatoria, toda vez que un error en este        acto de comunicación puede propiciar ineficacia de las decisiones que se adopten en la asamblea. En efecto, se deberá optar por el medio de convocatoria señalado en el Estatuto, o a falta de estipulación, se deberá seguir lo consagrado en las normas supletorias a que haya lugar.</w:t>
            </w:r>
          </w:p>
        </w:tc>
        <w:tc>
          <w:tcPr>
            <w:tcW w:w="0" w:type="auto"/>
            <w:tcBorders>
              <w:top w:val="nil"/>
              <w:left w:val="nil"/>
              <w:bottom w:val="single" w:sz="4" w:space="0" w:color="auto"/>
              <w:right w:val="single" w:sz="4" w:space="0" w:color="auto"/>
            </w:tcBorders>
            <w:vAlign w:val="center"/>
            <w:hideMark/>
          </w:tcPr>
          <w:p w14:paraId="053B8D01"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7, artículo 19, Ley 79 de 1988.</w:t>
            </w:r>
          </w:p>
        </w:tc>
      </w:tr>
      <w:tr w:rsidR="009D0509" w14:paraId="3BD7D342" w14:textId="77777777" w:rsidTr="009D0509">
        <w:trPr>
          <w:trHeight w:val="1020"/>
        </w:trPr>
        <w:tc>
          <w:tcPr>
            <w:tcW w:w="0" w:type="auto"/>
            <w:tcBorders>
              <w:top w:val="nil"/>
              <w:left w:val="single" w:sz="4" w:space="0" w:color="auto"/>
              <w:bottom w:val="single" w:sz="4" w:space="0" w:color="auto"/>
              <w:right w:val="single" w:sz="4" w:space="0" w:color="auto"/>
            </w:tcBorders>
            <w:vAlign w:val="center"/>
            <w:hideMark/>
          </w:tcPr>
          <w:p w14:paraId="1B72E498"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5.1 e)</w:t>
            </w:r>
          </w:p>
        </w:tc>
        <w:tc>
          <w:tcPr>
            <w:tcW w:w="0" w:type="auto"/>
            <w:tcBorders>
              <w:top w:val="nil"/>
              <w:left w:val="nil"/>
              <w:bottom w:val="single" w:sz="4" w:space="0" w:color="auto"/>
              <w:right w:val="single" w:sz="4" w:space="0" w:color="auto"/>
            </w:tcBorders>
            <w:vAlign w:val="center"/>
            <w:hideMark/>
          </w:tcPr>
          <w:p w14:paraId="21B84CE6" w14:textId="77777777" w:rsidR="009D0509" w:rsidRDefault="009D0509">
            <w:pPr>
              <w:jc w:val="both"/>
              <w:rPr>
                <w:rFonts w:ascii="Verdana" w:hAnsi="Verdana"/>
                <w:i w:val="0"/>
                <w:color w:val="000000"/>
                <w:sz w:val="16"/>
                <w:szCs w:val="16"/>
              </w:rPr>
            </w:pPr>
            <w:r>
              <w:rPr>
                <w:rFonts w:ascii="Verdana" w:hAnsi="Verdana"/>
                <w:i w:val="0"/>
                <w:color w:val="000000"/>
                <w:sz w:val="16"/>
                <w:szCs w:val="16"/>
              </w:rPr>
              <w:t>Previo a la celebración de la reunión de Asamblea General, se informará</w:t>
            </w:r>
            <w:r>
              <w:rPr>
                <w:rFonts w:ascii="Verdana" w:hAnsi="Verdana"/>
                <w:i w:val="0"/>
                <w:color w:val="000000"/>
                <w:sz w:val="16"/>
                <w:szCs w:val="16"/>
              </w:rPr>
              <w:br/>
              <w:t xml:space="preserve">a los asociados inhábiles, si los hubiere, sobre esta condición, las razones por la que adquirieron la inhabilidad, los efectos que le representan y los mecanismos con que cuenta para superar dicha situación. </w:t>
            </w:r>
          </w:p>
        </w:tc>
        <w:tc>
          <w:tcPr>
            <w:tcW w:w="0" w:type="auto"/>
            <w:tcBorders>
              <w:top w:val="nil"/>
              <w:left w:val="nil"/>
              <w:bottom w:val="single" w:sz="4" w:space="0" w:color="auto"/>
              <w:right w:val="single" w:sz="4" w:space="0" w:color="auto"/>
            </w:tcBorders>
            <w:vAlign w:val="center"/>
            <w:hideMark/>
          </w:tcPr>
          <w:p w14:paraId="366AD771" w14:textId="77777777" w:rsidR="009D0509" w:rsidRDefault="009D0509">
            <w:pPr>
              <w:jc w:val="both"/>
              <w:rPr>
                <w:rFonts w:ascii="Verdana" w:hAnsi="Verdana"/>
                <w:i w:val="0"/>
                <w:color w:val="000000"/>
                <w:sz w:val="16"/>
                <w:szCs w:val="16"/>
              </w:rPr>
            </w:pPr>
            <w:r>
              <w:rPr>
                <w:rFonts w:ascii="Verdana" w:hAnsi="Verdana"/>
                <w:i w:val="0"/>
                <w:color w:val="000000"/>
                <w:sz w:val="16"/>
                <w:szCs w:val="16"/>
              </w:rPr>
              <w:t>Artículo 30 de la Ley 79 de 1988 y el numeral 3, Artículo 2.11.11.2.3. del Decreto 962 de 2018.</w:t>
            </w:r>
          </w:p>
        </w:tc>
      </w:tr>
      <w:tr w:rsidR="009D0509" w14:paraId="674B53EB" w14:textId="77777777" w:rsidTr="009D0509">
        <w:trPr>
          <w:trHeight w:val="1530"/>
        </w:trPr>
        <w:tc>
          <w:tcPr>
            <w:tcW w:w="0" w:type="auto"/>
            <w:tcBorders>
              <w:top w:val="nil"/>
              <w:left w:val="single" w:sz="4" w:space="0" w:color="auto"/>
              <w:bottom w:val="single" w:sz="4" w:space="0" w:color="auto"/>
              <w:right w:val="single" w:sz="4" w:space="0" w:color="auto"/>
            </w:tcBorders>
            <w:vAlign w:val="center"/>
            <w:hideMark/>
          </w:tcPr>
          <w:p w14:paraId="61D05035"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5.3 a)</w:t>
            </w:r>
          </w:p>
        </w:tc>
        <w:tc>
          <w:tcPr>
            <w:tcW w:w="0" w:type="auto"/>
            <w:tcBorders>
              <w:top w:val="nil"/>
              <w:left w:val="nil"/>
              <w:bottom w:val="single" w:sz="4" w:space="0" w:color="auto"/>
              <w:right w:val="single" w:sz="4" w:space="0" w:color="auto"/>
            </w:tcBorders>
            <w:vAlign w:val="center"/>
            <w:hideMark/>
          </w:tcPr>
          <w:p w14:paraId="0FA1FB2A" w14:textId="77777777" w:rsidR="009D0509" w:rsidRDefault="009D0509">
            <w:pPr>
              <w:jc w:val="both"/>
              <w:rPr>
                <w:rFonts w:ascii="Verdana" w:hAnsi="Verdana"/>
                <w:i w:val="0"/>
                <w:color w:val="000000"/>
                <w:sz w:val="16"/>
                <w:szCs w:val="16"/>
              </w:rPr>
            </w:pPr>
            <w:r>
              <w:rPr>
                <w:rFonts w:ascii="Verdana" w:hAnsi="Verdana"/>
                <w:i w:val="0"/>
                <w:color w:val="000000"/>
                <w:sz w:val="16"/>
                <w:szCs w:val="16"/>
              </w:rPr>
              <w:t>El acto de convocatoria deberá contener, como mínimo, el nombre de la</w:t>
            </w:r>
            <w:r>
              <w:rPr>
                <w:rFonts w:ascii="Verdana" w:hAnsi="Verdana"/>
                <w:i w:val="0"/>
                <w:color w:val="000000"/>
                <w:sz w:val="16"/>
                <w:szCs w:val="16"/>
              </w:rPr>
              <w:br/>
              <w:t>empresa solidaria, el órgano que convoca, la fecha, hora, lugar, orden del día en que se realizará la reunión y la indicación de si la reunión es presencial, no presencial o mixta. En estos dos últimos casos, se deberá señalar la plataforma que se utilizará, el procedimiento para la verificación        de la identidad, la forma en que se dará el uso de la palabra y el sistema de votación.</w:t>
            </w:r>
          </w:p>
        </w:tc>
        <w:tc>
          <w:tcPr>
            <w:tcW w:w="0" w:type="auto"/>
            <w:tcBorders>
              <w:top w:val="nil"/>
              <w:left w:val="nil"/>
              <w:bottom w:val="single" w:sz="4" w:space="0" w:color="auto"/>
              <w:right w:val="single" w:sz="4" w:space="0" w:color="auto"/>
            </w:tcBorders>
            <w:vAlign w:val="center"/>
            <w:hideMark/>
          </w:tcPr>
          <w:p w14:paraId="542D420A" w14:textId="77777777" w:rsidR="009D0509" w:rsidRDefault="009D0509">
            <w:pPr>
              <w:rPr>
                <w:rFonts w:ascii="Verdana" w:hAnsi="Verdana"/>
                <w:i w:val="0"/>
                <w:color w:val="000000"/>
                <w:sz w:val="16"/>
                <w:szCs w:val="16"/>
              </w:rPr>
            </w:pPr>
            <w:r>
              <w:rPr>
                <w:rFonts w:ascii="Verdana" w:hAnsi="Verdana"/>
                <w:i w:val="0"/>
                <w:color w:val="000000"/>
                <w:sz w:val="16"/>
                <w:szCs w:val="16"/>
              </w:rPr>
              <w:t>Numeral 3, Artículo 2.11.11.2.3. del Decreto 962 de 2018.</w:t>
            </w:r>
          </w:p>
        </w:tc>
      </w:tr>
      <w:tr w:rsidR="009D0509" w14:paraId="6ECE2FB2"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4FDF59DA"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5.5 a)</w:t>
            </w:r>
          </w:p>
        </w:tc>
        <w:tc>
          <w:tcPr>
            <w:tcW w:w="0" w:type="auto"/>
            <w:tcBorders>
              <w:top w:val="nil"/>
              <w:left w:val="nil"/>
              <w:bottom w:val="single" w:sz="4" w:space="0" w:color="auto"/>
              <w:right w:val="single" w:sz="4" w:space="0" w:color="auto"/>
            </w:tcBorders>
            <w:vAlign w:val="center"/>
            <w:hideMark/>
          </w:tcPr>
          <w:p w14:paraId="4686E739"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Las empresas solidarias adoptarán políticas de comunicación e información dirigidas a los asociados sobre las decisiones tomadas en la reunión de la Asamblea General. Entre estas políticas se establecerán canales de comunicación para todos los asociados, incluyendo aquellos que no hayan participado en la reunión.</w:t>
            </w:r>
          </w:p>
        </w:tc>
        <w:tc>
          <w:tcPr>
            <w:tcW w:w="0" w:type="auto"/>
            <w:tcBorders>
              <w:top w:val="nil"/>
              <w:left w:val="nil"/>
              <w:bottom w:val="single" w:sz="4" w:space="0" w:color="auto"/>
              <w:right w:val="single" w:sz="4" w:space="0" w:color="auto"/>
            </w:tcBorders>
            <w:vAlign w:val="center"/>
            <w:hideMark/>
          </w:tcPr>
          <w:p w14:paraId="4061462E" w14:textId="77777777" w:rsidR="009D0509" w:rsidRDefault="009D0509">
            <w:pPr>
              <w:jc w:val="both"/>
              <w:rPr>
                <w:rFonts w:ascii="Verdana" w:hAnsi="Verdana"/>
                <w:i w:val="0"/>
                <w:color w:val="000000"/>
                <w:sz w:val="16"/>
                <w:szCs w:val="16"/>
              </w:rPr>
            </w:pPr>
            <w:r>
              <w:rPr>
                <w:rFonts w:ascii="Verdana" w:hAnsi="Verdana"/>
                <w:i w:val="0"/>
                <w:color w:val="000000"/>
                <w:sz w:val="16"/>
                <w:szCs w:val="16"/>
              </w:rPr>
              <w:t>Artículo 2.11.11.2.4. del Decreto 962 de 2018.</w:t>
            </w:r>
          </w:p>
        </w:tc>
      </w:tr>
      <w:tr w:rsidR="009D0509" w14:paraId="31199E2E" w14:textId="77777777" w:rsidTr="009D0509">
        <w:trPr>
          <w:trHeight w:val="541"/>
        </w:trPr>
        <w:tc>
          <w:tcPr>
            <w:tcW w:w="0" w:type="auto"/>
            <w:tcBorders>
              <w:top w:val="nil"/>
              <w:left w:val="single" w:sz="4" w:space="0" w:color="auto"/>
              <w:bottom w:val="single" w:sz="4" w:space="0" w:color="auto"/>
              <w:right w:val="single" w:sz="4" w:space="0" w:color="auto"/>
            </w:tcBorders>
            <w:vAlign w:val="center"/>
            <w:hideMark/>
          </w:tcPr>
          <w:p w14:paraId="7708A976"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7.1 a)</w:t>
            </w:r>
          </w:p>
        </w:tc>
        <w:tc>
          <w:tcPr>
            <w:tcW w:w="0" w:type="auto"/>
            <w:tcBorders>
              <w:top w:val="nil"/>
              <w:left w:val="nil"/>
              <w:bottom w:val="single" w:sz="4" w:space="0" w:color="auto"/>
              <w:right w:val="single" w:sz="4" w:space="0" w:color="auto"/>
            </w:tcBorders>
            <w:vAlign w:val="center"/>
            <w:hideMark/>
          </w:tcPr>
          <w:p w14:paraId="2259FFFE" w14:textId="77777777" w:rsidR="009D0509" w:rsidRDefault="009D0509">
            <w:pPr>
              <w:jc w:val="both"/>
              <w:rPr>
                <w:rFonts w:ascii="Verdana" w:hAnsi="Verdana"/>
                <w:i w:val="0"/>
                <w:color w:val="000000"/>
                <w:sz w:val="16"/>
                <w:szCs w:val="16"/>
              </w:rPr>
            </w:pPr>
            <w:r>
              <w:rPr>
                <w:rFonts w:ascii="Verdana" w:hAnsi="Verdana"/>
                <w:i w:val="0"/>
                <w:color w:val="000000"/>
                <w:sz w:val="16"/>
                <w:szCs w:val="16"/>
              </w:rPr>
              <w:t>Políticas que aseguren que los asociados estén plenamente representados por al menos un delegado por segmento, entiéndase por segmento de asociados aquél conformado por asociados que comparten características en razón de su ubicación geográfica, actividad económica, vinculación a una empresa, entre otros, distintas al vínculo de asociación previsto en los Estatutos de las empresas solidarias.</w:t>
            </w:r>
          </w:p>
        </w:tc>
        <w:tc>
          <w:tcPr>
            <w:tcW w:w="0" w:type="auto"/>
            <w:tcBorders>
              <w:top w:val="nil"/>
              <w:left w:val="nil"/>
              <w:bottom w:val="single" w:sz="4" w:space="0" w:color="auto"/>
              <w:right w:val="single" w:sz="4" w:space="0" w:color="auto"/>
            </w:tcBorders>
            <w:vAlign w:val="center"/>
            <w:hideMark/>
          </w:tcPr>
          <w:p w14:paraId="71BE6AF1"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2, del artículo 2.11.11.3.2 del Decreto 962 de 2018.</w:t>
            </w:r>
          </w:p>
        </w:tc>
      </w:tr>
      <w:tr w:rsidR="009D0509" w14:paraId="718D57EB" w14:textId="77777777" w:rsidTr="009D0509">
        <w:trPr>
          <w:trHeight w:val="510"/>
        </w:trPr>
        <w:tc>
          <w:tcPr>
            <w:tcW w:w="0" w:type="auto"/>
            <w:tcBorders>
              <w:top w:val="nil"/>
              <w:left w:val="single" w:sz="4" w:space="0" w:color="auto"/>
              <w:bottom w:val="single" w:sz="4" w:space="0" w:color="auto"/>
              <w:right w:val="single" w:sz="4" w:space="0" w:color="auto"/>
            </w:tcBorders>
            <w:vAlign w:val="center"/>
            <w:hideMark/>
          </w:tcPr>
          <w:p w14:paraId="3ED623A7"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7.1 b)</w:t>
            </w:r>
          </w:p>
        </w:tc>
        <w:tc>
          <w:tcPr>
            <w:tcW w:w="0" w:type="auto"/>
            <w:tcBorders>
              <w:top w:val="nil"/>
              <w:left w:val="nil"/>
              <w:bottom w:val="single" w:sz="4" w:space="0" w:color="auto"/>
              <w:right w:val="single" w:sz="4" w:space="0" w:color="auto"/>
            </w:tcBorders>
            <w:vAlign w:val="center"/>
            <w:hideMark/>
          </w:tcPr>
          <w:p w14:paraId="38228872" w14:textId="77777777" w:rsidR="009D0509" w:rsidRDefault="009D0509">
            <w:pPr>
              <w:jc w:val="both"/>
              <w:rPr>
                <w:rFonts w:ascii="Verdana" w:hAnsi="Verdana"/>
                <w:i w:val="0"/>
                <w:color w:val="000000"/>
                <w:sz w:val="16"/>
                <w:szCs w:val="16"/>
              </w:rPr>
            </w:pPr>
            <w:r>
              <w:rPr>
                <w:rFonts w:ascii="Verdana" w:hAnsi="Verdana"/>
                <w:i w:val="0"/>
                <w:color w:val="000000"/>
                <w:sz w:val="16"/>
                <w:szCs w:val="16"/>
              </w:rPr>
              <w:t>Políticas que garanticen la comunicación a los asociados de las decisiones tomadas en asamblea por parte de los delegados.</w:t>
            </w:r>
          </w:p>
        </w:tc>
        <w:tc>
          <w:tcPr>
            <w:tcW w:w="0" w:type="auto"/>
            <w:tcBorders>
              <w:top w:val="nil"/>
              <w:left w:val="nil"/>
              <w:bottom w:val="single" w:sz="4" w:space="0" w:color="auto"/>
              <w:right w:val="single" w:sz="4" w:space="0" w:color="auto"/>
            </w:tcBorders>
            <w:vAlign w:val="center"/>
            <w:hideMark/>
          </w:tcPr>
          <w:p w14:paraId="1FD961E5" w14:textId="77777777" w:rsidR="009D0509" w:rsidRDefault="009D0509">
            <w:pPr>
              <w:jc w:val="both"/>
              <w:rPr>
                <w:rFonts w:ascii="Verdana" w:hAnsi="Verdana"/>
                <w:i w:val="0"/>
                <w:color w:val="000000"/>
                <w:sz w:val="16"/>
                <w:szCs w:val="16"/>
              </w:rPr>
            </w:pPr>
            <w:r>
              <w:rPr>
                <w:rFonts w:ascii="Verdana" w:hAnsi="Verdana"/>
                <w:i w:val="0"/>
                <w:color w:val="000000"/>
                <w:sz w:val="16"/>
                <w:szCs w:val="16"/>
              </w:rPr>
              <w:t>Artículo 2.11.11.2.4. del Decreto 962 de 2018.</w:t>
            </w:r>
          </w:p>
        </w:tc>
      </w:tr>
      <w:tr w:rsidR="009D0509" w14:paraId="5BD2FEC9"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5672C862"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8.1</w:t>
            </w:r>
          </w:p>
        </w:tc>
        <w:tc>
          <w:tcPr>
            <w:tcW w:w="0" w:type="auto"/>
            <w:tcBorders>
              <w:top w:val="nil"/>
              <w:left w:val="nil"/>
              <w:bottom w:val="single" w:sz="4" w:space="0" w:color="auto"/>
              <w:right w:val="single" w:sz="4" w:space="0" w:color="auto"/>
            </w:tcBorders>
            <w:vAlign w:val="center"/>
            <w:hideMark/>
          </w:tcPr>
          <w:p w14:paraId="0C7E34BE" w14:textId="77777777" w:rsidR="009D0509" w:rsidRDefault="009D0509">
            <w:pPr>
              <w:jc w:val="both"/>
              <w:rPr>
                <w:rFonts w:ascii="Verdana" w:hAnsi="Verdana"/>
                <w:i w:val="0"/>
                <w:color w:val="000000"/>
                <w:sz w:val="16"/>
                <w:szCs w:val="16"/>
              </w:rPr>
            </w:pPr>
            <w:r>
              <w:rPr>
                <w:rFonts w:ascii="Verdana" w:hAnsi="Verdana"/>
                <w:i w:val="0"/>
                <w:color w:val="000000"/>
                <w:sz w:val="16"/>
                <w:szCs w:val="16"/>
              </w:rPr>
              <w:t>Número de miembros: El órgano permanente de administración, deberá contar con un número impar de miembros principales. Así mismo, dicho órgano colegiado deberá estar integrado con no menos de tres miembros principales y los suplentes personales o numéricos que defina la empresa solidaria en sus estatutos, en función del tamaño de la empresa solidaria.</w:t>
            </w:r>
          </w:p>
        </w:tc>
        <w:tc>
          <w:tcPr>
            <w:tcW w:w="0" w:type="auto"/>
            <w:tcBorders>
              <w:top w:val="nil"/>
              <w:left w:val="nil"/>
              <w:bottom w:val="single" w:sz="4" w:space="0" w:color="auto"/>
              <w:right w:val="single" w:sz="4" w:space="0" w:color="auto"/>
            </w:tcBorders>
            <w:vAlign w:val="center"/>
            <w:hideMark/>
          </w:tcPr>
          <w:p w14:paraId="60BA0808" w14:textId="77777777" w:rsidR="009D0509" w:rsidRDefault="009D0509">
            <w:pPr>
              <w:jc w:val="both"/>
              <w:rPr>
                <w:rFonts w:ascii="Verdana" w:hAnsi="Verdana"/>
                <w:i w:val="0"/>
                <w:color w:val="000000"/>
                <w:sz w:val="16"/>
                <w:szCs w:val="16"/>
              </w:rPr>
            </w:pPr>
            <w:r>
              <w:rPr>
                <w:rFonts w:ascii="Verdana" w:hAnsi="Verdana"/>
                <w:i w:val="0"/>
                <w:color w:val="000000"/>
                <w:sz w:val="16"/>
                <w:szCs w:val="16"/>
              </w:rPr>
              <w:br/>
              <w:t>Artículo 2.11.11.4.3. del Decreto 962 de 2018.</w:t>
            </w:r>
          </w:p>
        </w:tc>
      </w:tr>
      <w:tr w:rsidR="009D0509" w14:paraId="4F97B314"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488543BB"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lastRenderedPageBreak/>
              <w:t>8.6</w:t>
            </w:r>
          </w:p>
        </w:tc>
        <w:tc>
          <w:tcPr>
            <w:tcW w:w="0" w:type="auto"/>
            <w:tcBorders>
              <w:top w:val="nil"/>
              <w:left w:val="nil"/>
              <w:bottom w:val="single" w:sz="4" w:space="0" w:color="auto"/>
              <w:right w:val="single" w:sz="4" w:space="0" w:color="auto"/>
            </w:tcBorders>
            <w:vAlign w:val="center"/>
            <w:hideMark/>
          </w:tcPr>
          <w:p w14:paraId="3B842730" w14:textId="77777777" w:rsidR="009D0509" w:rsidRDefault="009D0509">
            <w:pPr>
              <w:jc w:val="both"/>
              <w:rPr>
                <w:rFonts w:ascii="Verdana" w:hAnsi="Verdana"/>
                <w:i w:val="0"/>
                <w:color w:val="000000"/>
                <w:sz w:val="16"/>
                <w:szCs w:val="16"/>
              </w:rPr>
            </w:pPr>
            <w:r>
              <w:rPr>
                <w:rFonts w:ascii="Verdana" w:hAnsi="Verdana"/>
                <w:i w:val="0"/>
                <w:color w:val="000000"/>
                <w:sz w:val="16"/>
                <w:szCs w:val="16"/>
              </w:rPr>
              <w:t xml:space="preserve">Participación de los miembros suplentes: La empresa solidaria definirá         las políticas, los criterios y las herramientas de participación de los miembros suplentes, que en todo caso estarán apropiadamente delimitados para garantizar que esta participación no afecte la toma de decisiones por los miembros principales, lo cual deberá estar debidamente documentado en el acta de la reunión. </w:t>
            </w:r>
          </w:p>
        </w:tc>
        <w:tc>
          <w:tcPr>
            <w:tcW w:w="0" w:type="auto"/>
            <w:tcBorders>
              <w:top w:val="nil"/>
              <w:left w:val="nil"/>
              <w:bottom w:val="single" w:sz="4" w:space="0" w:color="auto"/>
              <w:right w:val="single" w:sz="4" w:space="0" w:color="auto"/>
            </w:tcBorders>
            <w:vAlign w:val="center"/>
            <w:hideMark/>
          </w:tcPr>
          <w:p w14:paraId="57E03680"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5 del artículo 2.11.11.4.3 del Decreto 962 de 2018.</w:t>
            </w:r>
          </w:p>
        </w:tc>
      </w:tr>
      <w:tr w:rsidR="009D0509" w14:paraId="243F2175" w14:textId="77777777" w:rsidTr="009D0509">
        <w:trPr>
          <w:trHeight w:val="1020"/>
        </w:trPr>
        <w:tc>
          <w:tcPr>
            <w:tcW w:w="0" w:type="auto"/>
            <w:tcBorders>
              <w:top w:val="nil"/>
              <w:left w:val="single" w:sz="4" w:space="0" w:color="auto"/>
              <w:bottom w:val="single" w:sz="4" w:space="0" w:color="auto"/>
              <w:right w:val="single" w:sz="4" w:space="0" w:color="auto"/>
            </w:tcBorders>
            <w:vAlign w:val="center"/>
            <w:hideMark/>
          </w:tcPr>
          <w:p w14:paraId="09BDD34C"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8.7</w:t>
            </w:r>
          </w:p>
        </w:tc>
        <w:tc>
          <w:tcPr>
            <w:tcW w:w="0" w:type="auto"/>
            <w:tcBorders>
              <w:top w:val="nil"/>
              <w:left w:val="nil"/>
              <w:bottom w:val="single" w:sz="4" w:space="0" w:color="auto"/>
              <w:right w:val="single" w:sz="4" w:space="0" w:color="auto"/>
            </w:tcBorders>
            <w:vAlign w:val="center"/>
            <w:hideMark/>
          </w:tcPr>
          <w:p w14:paraId="525FB398" w14:textId="77777777" w:rsidR="009D0509" w:rsidRDefault="009D0509">
            <w:pPr>
              <w:jc w:val="both"/>
              <w:rPr>
                <w:rFonts w:ascii="Verdana" w:hAnsi="Verdana"/>
                <w:i w:val="0"/>
                <w:color w:val="000000"/>
                <w:sz w:val="16"/>
                <w:szCs w:val="16"/>
              </w:rPr>
            </w:pPr>
            <w:r>
              <w:rPr>
                <w:rFonts w:ascii="Verdana" w:hAnsi="Verdana"/>
                <w:i w:val="0"/>
                <w:color w:val="000000"/>
                <w:sz w:val="16"/>
                <w:szCs w:val="16"/>
              </w:rPr>
              <w:t>Cada empresa solidaria deberá establecer y documentar las políticas de atención de gastos y destinación de presupuesto para la inducción,</w:t>
            </w:r>
            <w:r>
              <w:rPr>
                <w:rFonts w:ascii="Verdana" w:hAnsi="Verdana"/>
                <w:i w:val="0"/>
                <w:color w:val="000000"/>
                <w:sz w:val="16"/>
                <w:szCs w:val="16"/>
              </w:rPr>
              <w:br/>
              <w:t>capacitación y evaluación de las operaciones del órgano permanente de</w:t>
            </w:r>
            <w:r>
              <w:rPr>
                <w:rFonts w:ascii="Verdana" w:hAnsi="Verdana"/>
                <w:i w:val="0"/>
                <w:color w:val="000000"/>
                <w:sz w:val="16"/>
                <w:szCs w:val="16"/>
              </w:rPr>
              <w:br/>
              <w:t xml:space="preserve">administración. </w:t>
            </w:r>
          </w:p>
        </w:tc>
        <w:tc>
          <w:tcPr>
            <w:tcW w:w="0" w:type="auto"/>
            <w:tcBorders>
              <w:top w:val="nil"/>
              <w:left w:val="nil"/>
              <w:bottom w:val="single" w:sz="4" w:space="0" w:color="auto"/>
              <w:right w:val="single" w:sz="4" w:space="0" w:color="auto"/>
            </w:tcBorders>
            <w:vAlign w:val="center"/>
            <w:hideMark/>
          </w:tcPr>
          <w:p w14:paraId="3C79B5C5"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4 del artículo 2.11.11.4.3 del Decreto 962 de 2018.</w:t>
            </w:r>
          </w:p>
        </w:tc>
      </w:tr>
      <w:tr w:rsidR="009D0509" w14:paraId="7BB362C4" w14:textId="77777777" w:rsidTr="009D0509">
        <w:trPr>
          <w:trHeight w:val="1020"/>
        </w:trPr>
        <w:tc>
          <w:tcPr>
            <w:tcW w:w="0" w:type="auto"/>
            <w:tcBorders>
              <w:top w:val="nil"/>
              <w:left w:val="single" w:sz="4" w:space="0" w:color="auto"/>
              <w:bottom w:val="single" w:sz="4" w:space="0" w:color="auto"/>
              <w:right w:val="single" w:sz="4" w:space="0" w:color="auto"/>
            </w:tcBorders>
            <w:vAlign w:val="center"/>
            <w:hideMark/>
          </w:tcPr>
          <w:p w14:paraId="24F345A5"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17.1 c)</w:t>
            </w:r>
          </w:p>
        </w:tc>
        <w:tc>
          <w:tcPr>
            <w:tcW w:w="0" w:type="auto"/>
            <w:tcBorders>
              <w:top w:val="nil"/>
              <w:left w:val="nil"/>
              <w:bottom w:val="single" w:sz="4" w:space="0" w:color="auto"/>
              <w:right w:val="single" w:sz="4" w:space="0" w:color="auto"/>
            </w:tcBorders>
            <w:vAlign w:val="center"/>
            <w:hideMark/>
          </w:tcPr>
          <w:p w14:paraId="23C39100" w14:textId="77777777" w:rsidR="009D0509" w:rsidRDefault="009D0509">
            <w:pPr>
              <w:jc w:val="both"/>
              <w:rPr>
                <w:rFonts w:ascii="Verdana" w:hAnsi="Verdana"/>
                <w:i w:val="0"/>
                <w:color w:val="000000"/>
                <w:sz w:val="16"/>
                <w:szCs w:val="16"/>
              </w:rPr>
            </w:pPr>
            <w:r>
              <w:rPr>
                <w:rFonts w:ascii="Verdana" w:hAnsi="Verdana"/>
                <w:i w:val="0"/>
                <w:color w:val="000000"/>
                <w:sz w:val="16"/>
                <w:szCs w:val="16"/>
              </w:rPr>
              <w:t>Responsabilidades y Sanciones. El reglamento interno podrá definir las responsabilidades de los miembros, así como las faltas y sanciones aplicables. También deberá establecer el procedimiento para la aplicación de sanciones y los mecanismos de apelación o defensa.</w:t>
            </w:r>
          </w:p>
        </w:tc>
        <w:tc>
          <w:tcPr>
            <w:tcW w:w="0" w:type="auto"/>
            <w:tcBorders>
              <w:top w:val="nil"/>
              <w:left w:val="nil"/>
              <w:bottom w:val="single" w:sz="4" w:space="0" w:color="auto"/>
              <w:right w:val="single" w:sz="4" w:space="0" w:color="auto"/>
            </w:tcBorders>
            <w:vAlign w:val="center"/>
            <w:hideMark/>
          </w:tcPr>
          <w:p w14:paraId="209E8079" w14:textId="77777777" w:rsidR="009D0509" w:rsidRDefault="009D0509">
            <w:pPr>
              <w:jc w:val="both"/>
              <w:rPr>
                <w:rFonts w:ascii="Verdana" w:hAnsi="Verdana"/>
                <w:i w:val="0"/>
                <w:color w:val="000000"/>
                <w:sz w:val="16"/>
                <w:szCs w:val="16"/>
              </w:rPr>
            </w:pPr>
            <w:r>
              <w:rPr>
                <w:rFonts w:ascii="Verdana" w:hAnsi="Verdana"/>
                <w:i w:val="0"/>
                <w:color w:val="000000"/>
                <w:sz w:val="16"/>
                <w:szCs w:val="16"/>
              </w:rPr>
              <w:t>Artículo 29 de la Constitución Política de Colombia</w:t>
            </w:r>
          </w:p>
        </w:tc>
      </w:tr>
      <w:tr w:rsidR="009D0509" w14:paraId="2E527727"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2BE0FDFA"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18.3</w:t>
            </w:r>
          </w:p>
        </w:tc>
        <w:tc>
          <w:tcPr>
            <w:tcW w:w="0" w:type="auto"/>
            <w:tcBorders>
              <w:top w:val="nil"/>
              <w:left w:val="nil"/>
              <w:bottom w:val="single" w:sz="4" w:space="0" w:color="auto"/>
              <w:right w:val="single" w:sz="4" w:space="0" w:color="auto"/>
            </w:tcBorders>
            <w:vAlign w:val="bottom"/>
            <w:hideMark/>
          </w:tcPr>
          <w:p w14:paraId="717C3490" w14:textId="77777777" w:rsidR="009D0509" w:rsidRDefault="009D0509">
            <w:pPr>
              <w:jc w:val="both"/>
              <w:rPr>
                <w:rFonts w:ascii="Verdana" w:hAnsi="Verdana"/>
                <w:i w:val="0"/>
                <w:color w:val="000000"/>
                <w:sz w:val="16"/>
                <w:szCs w:val="16"/>
              </w:rPr>
            </w:pPr>
            <w:r>
              <w:rPr>
                <w:rFonts w:ascii="Verdana" w:hAnsi="Verdana"/>
                <w:i w:val="0"/>
                <w:color w:val="000000"/>
                <w:sz w:val="16"/>
                <w:szCs w:val="16"/>
              </w:rPr>
              <w:t>El órgano de control social deberá canalizar la información de los asociados interesados en participar en los procesos democráticos de elección, requerida en el reglamento, para realizar los análisis sobre los documentos recibidos y determinar el cumplimiento de los requisitos establecidos reglamentariamente.</w:t>
            </w:r>
          </w:p>
        </w:tc>
        <w:tc>
          <w:tcPr>
            <w:tcW w:w="0" w:type="auto"/>
            <w:tcBorders>
              <w:top w:val="nil"/>
              <w:left w:val="nil"/>
              <w:bottom w:val="single" w:sz="4" w:space="0" w:color="auto"/>
              <w:right w:val="single" w:sz="4" w:space="0" w:color="auto"/>
            </w:tcBorders>
            <w:vAlign w:val="center"/>
            <w:hideMark/>
          </w:tcPr>
          <w:p w14:paraId="44F962DC"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1 del Artículo 40 de la Ley 79 de 1988 y el parágrafo primero del</w:t>
            </w:r>
            <w:r>
              <w:rPr>
                <w:rFonts w:ascii="Verdana" w:hAnsi="Verdana"/>
                <w:i w:val="0"/>
                <w:color w:val="000000"/>
                <w:sz w:val="16"/>
                <w:szCs w:val="16"/>
              </w:rPr>
              <w:br/>
              <w:t>artículo 2.11.11.4.2. del Decreto 962 de 2018</w:t>
            </w:r>
          </w:p>
        </w:tc>
      </w:tr>
      <w:tr w:rsidR="009D0509" w14:paraId="2C599DFC"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2CB1D5DB"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19.4</w:t>
            </w:r>
          </w:p>
        </w:tc>
        <w:tc>
          <w:tcPr>
            <w:tcW w:w="0" w:type="auto"/>
            <w:tcBorders>
              <w:top w:val="nil"/>
              <w:left w:val="nil"/>
              <w:bottom w:val="single" w:sz="4" w:space="0" w:color="auto"/>
              <w:right w:val="single" w:sz="4" w:space="0" w:color="auto"/>
            </w:tcBorders>
            <w:vAlign w:val="bottom"/>
            <w:hideMark/>
          </w:tcPr>
          <w:p w14:paraId="3D65FF5C"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Las quejas o reclamos de los asociados recibidas por los canales dispuestos por la empresa solidaria deberán ser conocidas por el órgano de control social, a efectos de realizar seguimiento al tratamiento y solución oportuna por parte de la administración, de cada situación individual.</w:t>
            </w:r>
          </w:p>
        </w:tc>
        <w:tc>
          <w:tcPr>
            <w:tcW w:w="0" w:type="auto"/>
            <w:tcBorders>
              <w:top w:val="nil"/>
              <w:left w:val="nil"/>
              <w:bottom w:val="single" w:sz="4" w:space="0" w:color="auto"/>
              <w:right w:val="single" w:sz="4" w:space="0" w:color="auto"/>
            </w:tcBorders>
            <w:vAlign w:val="center"/>
            <w:hideMark/>
          </w:tcPr>
          <w:p w14:paraId="0D024D3C"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3 del artículo 40 de la Ley 79 de 1988.</w:t>
            </w:r>
          </w:p>
        </w:tc>
      </w:tr>
      <w:tr w:rsidR="009D0509" w14:paraId="25C08355" w14:textId="77777777" w:rsidTr="009D0509">
        <w:trPr>
          <w:trHeight w:val="1020"/>
        </w:trPr>
        <w:tc>
          <w:tcPr>
            <w:tcW w:w="0" w:type="auto"/>
            <w:tcBorders>
              <w:top w:val="nil"/>
              <w:left w:val="single" w:sz="4" w:space="0" w:color="auto"/>
              <w:bottom w:val="single" w:sz="4" w:space="0" w:color="auto"/>
              <w:right w:val="single" w:sz="4" w:space="0" w:color="auto"/>
            </w:tcBorders>
            <w:vAlign w:val="center"/>
            <w:hideMark/>
          </w:tcPr>
          <w:p w14:paraId="050EA651"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19.6</w:t>
            </w:r>
          </w:p>
        </w:tc>
        <w:tc>
          <w:tcPr>
            <w:tcW w:w="0" w:type="auto"/>
            <w:tcBorders>
              <w:top w:val="nil"/>
              <w:left w:val="nil"/>
              <w:bottom w:val="single" w:sz="4" w:space="0" w:color="auto"/>
              <w:right w:val="single" w:sz="4" w:space="0" w:color="auto"/>
            </w:tcBorders>
            <w:vAlign w:val="center"/>
            <w:hideMark/>
          </w:tcPr>
          <w:p w14:paraId="1E0F15C5" w14:textId="77777777" w:rsidR="009D0509" w:rsidRDefault="009D0509">
            <w:pPr>
              <w:jc w:val="both"/>
              <w:rPr>
                <w:rFonts w:ascii="Verdana" w:hAnsi="Verdana"/>
                <w:i w:val="0"/>
                <w:color w:val="000000"/>
                <w:sz w:val="16"/>
                <w:szCs w:val="16"/>
              </w:rPr>
            </w:pPr>
            <w:r>
              <w:rPr>
                <w:rFonts w:ascii="Verdana" w:hAnsi="Verdana"/>
                <w:i w:val="0"/>
                <w:color w:val="000000"/>
                <w:sz w:val="16"/>
                <w:szCs w:val="16"/>
              </w:rPr>
              <w:t>Conocer los resultados obtenidos de los procesos sancionatorios o de exclusión realizados por la Administración para valorar el debido proceso aplicado, de acuerdo con lo establecido estatutaria o reglamentariamente, o aplicar el procedimiento de investigación establecido internamente.</w:t>
            </w:r>
          </w:p>
        </w:tc>
        <w:tc>
          <w:tcPr>
            <w:tcW w:w="0" w:type="auto"/>
            <w:tcBorders>
              <w:top w:val="nil"/>
              <w:left w:val="nil"/>
              <w:bottom w:val="single" w:sz="4" w:space="0" w:color="auto"/>
              <w:right w:val="single" w:sz="4" w:space="0" w:color="auto"/>
            </w:tcBorders>
            <w:vAlign w:val="center"/>
            <w:hideMark/>
          </w:tcPr>
          <w:p w14:paraId="43C2DDB7"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5 del artículo 40 de la Ley 79 de 1988.</w:t>
            </w:r>
          </w:p>
        </w:tc>
      </w:tr>
      <w:tr w:rsidR="009D0509" w14:paraId="35B30AF7" w14:textId="77777777" w:rsidTr="009D0509">
        <w:trPr>
          <w:trHeight w:val="2040"/>
        </w:trPr>
        <w:tc>
          <w:tcPr>
            <w:tcW w:w="0" w:type="auto"/>
            <w:tcBorders>
              <w:top w:val="nil"/>
              <w:left w:val="single" w:sz="4" w:space="0" w:color="auto"/>
              <w:bottom w:val="single" w:sz="4" w:space="0" w:color="auto"/>
              <w:right w:val="single" w:sz="4" w:space="0" w:color="auto"/>
            </w:tcBorders>
            <w:vAlign w:val="center"/>
            <w:hideMark/>
          </w:tcPr>
          <w:p w14:paraId="657B2327"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t>21</w:t>
            </w:r>
          </w:p>
        </w:tc>
        <w:tc>
          <w:tcPr>
            <w:tcW w:w="0" w:type="auto"/>
            <w:tcBorders>
              <w:top w:val="nil"/>
              <w:left w:val="nil"/>
              <w:bottom w:val="single" w:sz="4" w:space="0" w:color="auto"/>
              <w:right w:val="single" w:sz="4" w:space="0" w:color="auto"/>
            </w:tcBorders>
            <w:hideMark/>
          </w:tcPr>
          <w:p w14:paraId="40006FC0" w14:textId="77777777" w:rsidR="009D0509" w:rsidRDefault="009D0509">
            <w:pPr>
              <w:jc w:val="both"/>
              <w:rPr>
                <w:rFonts w:ascii="Verdana" w:hAnsi="Verdana"/>
                <w:i w:val="0"/>
                <w:color w:val="000000"/>
                <w:sz w:val="16"/>
                <w:szCs w:val="16"/>
              </w:rPr>
            </w:pPr>
            <w:r>
              <w:rPr>
                <w:rFonts w:ascii="Verdana" w:hAnsi="Verdana"/>
                <w:i w:val="0"/>
                <w:color w:val="000000"/>
                <w:sz w:val="16"/>
                <w:szCs w:val="16"/>
              </w:rPr>
              <w:t>La empresa solidaria debe contar con un código de ética que defina las inhabilidades e incompatibilidades y los conflictos de interés aplicables        a los miembros del órgano permanente de administración, órgano de control social, los familiares, los empleados y las personas con las cuales haya algún tipo de vínculo comercial, entre otros, que comprometan la independencia en la toma de decisiones o en la operación de la empresa solidaria. El cual deberá estar en línea con lo establecido a lo largo del Título IV, Sistemas de administración de riesgos de la CBCF.</w:t>
            </w:r>
          </w:p>
        </w:tc>
        <w:tc>
          <w:tcPr>
            <w:tcW w:w="0" w:type="auto"/>
            <w:tcBorders>
              <w:top w:val="nil"/>
              <w:left w:val="nil"/>
              <w:bottom w:val="single" w:sz="4" w:space="0" w:color="auto"/>
              <w:right w:val="single" w:sz="4" w:space="0" w:color="auto"/>
            </w:tcBorders>
            <w:vAlign w:val="center"/>
            <w:hideMark/>
          </w:tcPr>
          <w:p w14:paraId="6BCBF7C2" w14:textId="77777777" w:rsidR="009D0509" w:rsidRDefault="009D0509">
            <w:pPr>
              <w:jc w:val="both"/>
              <w:rPr>
                <w:rFonts w:ascii="Verdana" w:hAnsi="Verdana"/>
                <w:i w:val="0"/>
                <w:color w:val="000000"/>
                <w:sz w:val="16"/>
                <w:szCs w:val="16"/>
              </w:rPr>
            </w:pPr>
            <w:r>
              <w:rPr>
                <w:rFonts w:ascii="Verdana" w:hAnsi="Verdana"/>
                <w:i w:val="0"/>
                <w:color w:val="000000"/>
                <w:sz w:val="16"/>
                <w:szCs w:val="16"/>
              </w:rPr>
              <w:t xml:space="preserve">Título IV, Sistemas de administración de riesgos de la Circular Básica Contable y </w:t>
            </w:r>
          </w:p>
          <w:p w14:paraId="0AECB39B" w14:textId="77777777" w:rsidR="009D0509" w:rsidRDefault="009D0509">
            <w:pPr>
              <w:jc w:val="both"/>
              <w:rPr>
                <w:rFonts w:ascii="Verdana" w:hAnsi="Verdana"/>
                <w:i w:val="0"/>
                <w:color w:val="000000"/>
                <w:sz w:val="16"/>
                <w:szCs w:val="16"/>
              </w:rPr>
            </w:pPr>
            <w:r>
              <w:rPr>
                <w:rFonts w:ascii="Verdana" w:hAnsi="Verdana"/>
                <w:i w:val="0"/>
                <w:color w:val="000000"/>
                <w:sz w:val="16"/>
                <w:szCs w:val="16"/>
              </w:rPr>
              <w:t>Financiera - CBCF.</w:t>
            </w:r>
          </w:p>
        </w:tc>
      </w:tr>
      <w:tr w:rsidR="009D0509" w14:paraId="77840B04" w14:textId="77777777" w:rsidTr="009D0509">
        <w:trPr>
          <w:trHeight w:val="1275"/>
        </w:trPr>
        <w:tc>
          <w:tcPr>
            <w:tcW w:w="0" w:type="auto"/>
            <w:tcBorders>
              <w:top w:val="nil"/>
              <w:left w:val="single" w:sz="4" w:space="0" w:color="auto"/>
              <w:bottom w:val="single" w:sz="4" w:space="0" w:color="auto"/>
              <w:right w:val="single" w:sz="4" w:space="0" w:color="auto"/>
            </w:tcBorders>
            <w:vAlign w:val="center"/>
            <w:hideMark/>
          </w:tcPr>
          <w:p w14:paraId="30B86E6A" w14:textId="77777777" w:rsidR="009D0509" w:rsidRDefault="009D0509">
            <w:pPr>
              <w:jc w:val="center"/>
              <w:rPr>
                <w:rFonts w:ascii="Verdana" w:hAnsi="Verdana"/>
                <w:b/>
                <w:bCs/>
                <w:i w:val="0"/>
                <w:color w:val="000000"/>
                <w:sz w:val="16"/>
                <w:szCs w:val="16"/>
              </w:rPr>
            </w:pPr>
            <w:r>
              <w:rPr>
                <w:rFonts w:ascii="Verdana" w:hAnsi="Verdana"/>
                <w:b/>
                <w:bCs/>
                <w:i w:val="0"/>
                <w:color w:val="000000"/>
                <w:sz w:val="16"/>
                <w:szCs w:val="16"/>
              </w:rPr>
              <w:lastRenderedPageBreak/>
              <w:t>30.3</w:t>
            </w:r>
          </w:p>
        </w:tc>
        <w:tc>
          <w:tcPr>
            <w:tcW w:w="0" w:type="auto"/>
            <w:tcBorders>
              <w:top w:val="nil"/>
              <w:left w:val="nil"/>
              <w:bottom w:val="single" w:sz="4" w:space="0" w:color="auto"/>
              <w:right w:val="single" w:sz="4" w:space="0" w:color="auto"/>
            </w:tcBorders>
            <w:vAlign w:val="center"/>
            <w:hideMark/>
          </w:tcPr>
          <w:p w14:paraId="2E709354" w14:textId="77777777" w:rsidR="009D0509" w:rsidRDefault="009D0509">
            <w:pPr>
              <w:jc w:val="both"/>
              <w:rPr>
                <w:rFonts w:ascii="Verdana" w:hAnsi="Verdana"/>
                <w:i w:val="0"/>
                <w:color w:val="000000"/>
                <w:sz w:val="16"/>
                <w:szCs w:val="16"/>
              </w:rPr>
            </w:pPr>
            <w:r>
              <w:rPr>
                <w:rFonts w:ascii="Verdana" w:hAnsi="Verdana"/>
                <w:i w:val="0"/>
                <w:color w:val="000000"/>
                <w:sz w:val="16"/>
                <w:szCs w:val="16"/>
              </w:rPr>
              <w:t xml:space="preserve">El Informe Anual de Gobierno Corporativo de la empresa solidaria, contiene información al cierre del ejercicio que describe la manera en la que durante el año se dio cumplimiento a las recomendaciones de Gobierno Corporativo adoptadas por la empresa solidaria y los principales cambios producidos, de acuerdo con lo establecido en la Circular Básica Contable y Financiera en el Titulo II Capítulo I presentación de Estados Financieros. </w:t>
            </w:r>
          </w:p>
        </w:tc>
        <w:tc>
          <w:tcPr>
            <w:tcW w:w="0" w:type="auto"/>
            <w:tcBorders>
              <w:top w:val="nil"/>
              <w:left w:val="nil"/>
              <w:bottom w:val="single" w:sz="4" w:space="0" w:color="auto"/>
              <w:right w:val="single" w:sz="4" w:space="0" w:color="auto"/>
            </w:tcBorders>
            <w:vAlign w:val="center"/>
            <w:hideMark/>
          </w:tcPr>
          <w:p w14:paraId="2FD0C78C" w14:textId="77777777" w:rsidR="009D0509" w:rsidRDefault="009D0509">
            <w:pPr>
              <w:jc w:val="both"/>
              <w:rPr>
                <w:rFonts w:ascii="Verdana" w:hAnsi="Verdana"/>
                <w:i w:val="0"/>
                <w:color w:val="000000"/>
                <w:sz w:val="16"/>
                <w:szCs w:val="16"/>
              </w:rPr>
            </w:pPr>
            <w:r>
              <w:rPr>
                <w:rFonts w:ascii="Verdana" w:hAnsi="Verdana"/>
                <w:i w:val="0"/>
                <w:color w:val="000000"/>
                <w:sz w:val="16"/>
                <w:szCs w:val="16"/>
              </w:rPr>
              <w:t>Numeral 4.1.3.4 del Título II Capítulo I presentación de Estados Financieros de la Circular Básica Contable y Financiera - CBCF</w:t>
            </w:r>
          </w:p>
        </w:tc>
      </w:tr>
    </w:tbl>
    <w:p w14:paraId="212C5D9D" w14:textId="1FA78B65" w:rsidR="009D0509" w:rsidRPr="009D0509" w:rsidRDefault="009D0509" w:rsidP="009D0509">
      <w:pPr>
        <w:spacing w:line="252" w:lineRule="auto"/>
        <w:jc w:val="both"/>
        <w:rPr>
          <w:rFonts w:ascii="Verdana" w:eastAsia="Verdana" w:hAnsi="Verdana" w:cs="Verdana"/>
          <w:i w:val="0"/>
          <w:iCs/>
          <w:color w:val="000000"/>
          <w:sz w:val="22"/>
          <w:szCs w:val="22"/>
          <w:highlight w:val="white"/>
        </w:rPr>
      </w:pPr>
      <w:r>
        <w:rPr>
          <w:rFonts w:ascii="Verdana" w:eastAsia="Verdana" w:hAnsi="Verdana" w:cs="Verdana"/>
          <w:bCs/>
          <w:i w:val="0"/>
          <w:sz w:val="21"/>
          <w:szCs w:val="21"/>
        </w:rPr>
        <w:fldChar w:fldCharType="end"/>
      </w:r>
    </w:p>
    <w:p w14:paraId="75AF53B6" w14:textId="77777777" w:rsidR="009D0509" w:rsidRDefault="009D0509" w:rsidP="009D0509">
      <w:pPr>
        <w:spacing w:line="252" w:lineRule="auto"/>
        <w:jc w:val="both"/>
        <w:rPr>
          <w:rFonts w:ascii="Verdana" w:eastAsia="Verdana" w:hAnsi="Verdana" w:cs="Verdana"/>
          <w:i w:val="0"/>
          <w:color w:val="000000"/>
          <w:sz w:val="22"/>
          <w:szCs w:val="22"/>
          <w:highlight w:val="white"/>
        </w:rPr>
      </w:pPr>
      <w:r>
        <w:rPr>
          <w:rFonts w:ascii="Verdana" w:eastAsia="Verdana" w:hAnsi="Verdana" w:cs="Verdana"/>
          <w:b/>
          <w:i w:val="0"/>
          <w:sz w:val="22"/>
          <w:szCs w:val="22"/>
          <w:highlight w:val="white"/>
        </w:rPr>
        <w:t xml:space="preserve">CUARTA: </w:t>
      </w:r>
      <w:r>
        <w:rPr>
          <w:rFonts w:ascii="Verdana" w:eastAsia="Verdana" w:hAnsi="Verdana" w:cs="Verdana"/>
          <w:b/>
          <w:i w:val="0"/>
          <w:color w:val="000000"/>
          <w:sz w:val="22"/>
          <w:szCs w:val="22"/>
          <w:highlight w:val="white"/>
        </w:rPr>
        <w:t>V</w:t>
      </w:r>
      <w:r>
        <w:rPr>
          <w:rFonts w:ascii="Verdana" w:eastAsia="Verdana" w:hAnsi="Verdana" w:cs="Verdana"/>
          <w:b/>
          <w:i w:val="0"/>
          <w:sz w:val="22"/>
          <w:szCs w:val="22"/>
          <w:highlight w:val="white"/>
        </w:rPr>
        <w:t>i</w:t>
      </w:r>
      <w:r>
        <w:rPr>
          <w:rFonts w:ascii="Verdana" w:eastAsia="Verdana" w:hAnsi="Verdana" w:cs="Verdana"/>
          <w:b/>
          <w:i w:val="0"/>
          <w:color w:val="000000"/>
          <w:sz w:val="22"/>
          <w:szCs w:val="22"/>
          <w:highlight w:val="white"/>
        </w:rPr>
        <w:t>gencia</w:t>
      </w:r>
      <w:r>
        <w:rPr>
          <w:rFonts w:ascii="Verdana" w:eastAsia="Verdana" w:hAnsi="Verdana" w:cs="Verdana"/>
          <w:b/>
          <w:i w:val="0"/>
          <w:sz w:val="22"/>
          <w:szCs w:val="22"/>
          <w:highlight w:val="white"/>
        </w:rPr>
        <w:t>.</w:t>
      </w:r>
      <w:r>
        <w:rPr>
          <w:rFonts w:ascii="Verdana" w:eastAsia="Verdana" w:hAnsi="Verdana" w:cs="Verdana"/>
          <w:i w:val="0"/>
          <w:sz w:val="22"/>
          <w:szCs w:val="22"/>
          <w:highlight w:val="white"/>
        </w:rPr>
        <w:t xml:space="preserve"> C</w:t>
      </w:r>
      <w:r>
        <w:rPr>
          <w:rFonts w:ascii="Verdana" w:eastAsia="Verdana" w:hAnsi="Verdana" w:cs="Verdana"/>
          <w:i w:val="0"/>
          <w:color w:val="000000"/>
          <w:sz w:val="22"/>
          <w:szCs w:val="22"/>
          <w:highlight w:val="white"/>
        </w:rPr>
        <w:t>onforme a lo previsto en el inciso primero del artículo 65 de la Ley 1437 de 2011, la presente Circular rige a partir de la fecha de publicación en el Diario Oficial.</w:t>
      </w:r>
    </w:p>
    <w:p w14:paraId="622B551E" w14:textId="77777777" w:rsidR="009D0509" w:rsidRDefault="009D0509" w:rsidP="009D0509">
      <w:pPr>
        <w:spacing w:line="252" w:lineRule="auto"/>
        <w:jc w:val="both"/>
        <w:rPr>
          <w:rFonts w:ascii="Verdana" w:eastAsia="Verdana" w:hAnsi="Verdana" w:cs="Verdana"/>
          <w:i w:val="0"/>
          <w:color w:val="000000"/>
          <w:sz w:val="22"/>
          <w:szCs w:val="22"/>
          <w:highlight w:val="white"/>
        </w:rPr>
      </w:pPr>
    </w:p>
    <w:p w14:paraId="336D3E3C" w14:textId="77777777" w:rsidR="009D0509" w:rsidRDefault="009D0509" w:rsidP="009D0509">
      <w:pPr>
        <w:rPr>
          <w:rFonts w:ascii="Verdana" w:eastAsia="Verdana" w:hAnsi="Verdana" w:cs="Verdana"/>
          <w:i w:val="0"/>
          <w:sz w:val="22"/>
          <w:szCs w:val="22"/>
        </w:rPr>
      </w:pPr>
      <w:r>
        <w:rPr>
          <w:rFonts w:ascii="Verdana" w:eastAsia="Verdana" w:hAnsi="Verdana" w:cs="Verdana"/>
          <w:i w:val="0"/>
          <w:sz w:val="22"/>
          <w:szCs w:val="22"/>
        </w:rPr>
        <w:t>Cordialmente,</w:t>
      </w:r>
    </w:p>
    <w:p w14:paraId="00F95194" w14:textId="77777777" w:rsidR="009D0509" w:rsidRDefault="009D0509" w:rsidP="009D0509">
      <w:pPr>
        <w:rPr>
          <w:rFonts w:ascii="Verdana" w:eastAsia="Verdana" w:hAnsi="Verdana" w:cs="Verdana"/>
          <w:i w:val="0"/>
          <w:sz w:val="22"/>
          <w:szCs w:val="22"/>
        </w:rPr>
      </w:pPr>
      <w:bookmarkStart w:id="5" w:name="_heading=h.6grliqk5lnf7"/>
      <w:bookmarkEnd w:id="5"/>
    </w:p>
    <w:p w14:paraId="77BB3CB4" w14:textId="77777777" w:rsidR="009D0509" w:rsidRDefault="009D0509" w:rsidP="009D0509">
      <w:pPr>
        <w:rPr>
          <w:rFonts w:ascii="Verdana" w:eastAsia="Verdana" w:hAnsi="Verdana" w:cs="Verdana"/>
          <w:i w:val="0"/>
          <w:sz w:val="22"/>
          <w:szCs w:val="22"/>
        </w:rPr>
      </w:pPr>
    </w:p>
    <w:p w14:paraId="6514D075" w14:textId="77777777" w:rsidR="009D0509" w:rsidRDefault="009D0509" w:rsidP="009D0509">
      <w:pPr>
        <w:rPr>
          <w:rFonts w:ascii="Verdana" w:eastAsia="Verdana" w:hAnsi="Verdana" w:cs="Verdana"/>
          <w:i w:val="0"/>
          <w:sz w:val="22"/>
          <w:szCs w:val="22"/>
        </w:rPr>
      </w:pPr>
    </w:p>
    <w:p w14:paraId="6A8E02AD" w14:textId="77777777" w:rsidR="009D0509" w:rsidRDefault="009D0509" w:rsidP="009D0509">
      <w:pPr>
        <w:rPr>
          <w:rFonts w:ascii="Verdana" w:eastAsia="Verdana" w:hAnsi="Verdana" w:cs="Verdana"/>
          <w:b/>
          <w:i w:val="0"/>
          <w:sz w:val="22"/>
          <w:szCs w:val="22"/>
        </w:rPr>
      </w:pPr>
      <w:r>
        <w:rPr>
          <w:rFonts w:ascii="Verdana" w:eastAsia="Verdana" w:hAnsi="Verdana" w:cs="Verdana"/>
          <w:b/>
          <w:i w:val="0"/>
          <w:sz w:val="22"/>
          <w:szCs w:val="22"/>
        </w:rPr>
        <w:t>MARÍA JOSÉ NAVARRO MUÑOZ</w:t>
      </w:r>
    </w:p>
    <w:p w14:paraId="65098F72" w14:textId="77777777" w:rsidR="009D0509" w:rsidRDefault="009D0509" w:rsidP="009D0509">
      <w:pPr>
        <w:jc w:val="both"/>
        <w:rPr>
          <w:rFonts w:ascii="Verdana" w:eastAsia="Verdana" w:hAnsi="Verdana" w:cs="Verdana"/>
          <w:i w:val="0"/>
          <w:sz w:val="20"/>
          <w:szCs w:val="20"/>
        </w:rPr>
      </w:pPr>
      <w:r>
        <w:rPr>
          <w:rFonts w:ascii="Verdana" w:eastAsia="Verdana" w:hAnsi="Verdana" w:cs="Verdana"/>
          <w:i w:val="0"/>
          <w:sz w:val="22"/>
          <w:szCs w:val="22"/>
        </w:rPr>
        <w:t>Superintendenta de la Economía Solidaria</w:t>
      </w:r>
    </w:p>
    <w:p w14:paraId="3AD0F822" w14:textId="77777777" w:rsidR="009D0509" w:rsidRDefault="009D0509" w:rsidP="009D0509">
      <w:pPr>
        <w:rPr>
          <w:rFonts w:ascii="Verdana" w:eastAsia="Verdana" w:hAnsi="Verdana" w:cs="Verdana"/>
          <w:sz w:val="22"/>
          <w:szCs w:val="22"/>
        </w:rPr>
      </w:pPr>
    </w:p>
    <w:p w14:paraId="7DCC0385" w14:textId="323D892F" w:rsidR="009D0509" w:rsidRDefault="009D0509" w:rsidP="009D0509">
      <w:pPr>
        <w:rPr>
          <w:rFonts w:ascii="Verdana" w:eastAsia="Verdana" w:hAnsi="Verdana" w:cs="Verdana"/>
          <w:i w:val="0"/>
          <w:sz w:val="12"/>
          <w:szCs w:val="12"/>
        </w:rPr>
      </w:pPr>
      <w:r>
        <w:rPr>
          <w:rFonts w:ascii="Verdana" w:eastAsia="Verdana" w:hAnsi="Verdana" w:cs="Verdana"/>
          <w:i w:val="0"/>
          <w:sz w:val="12"/>
          <w:szCs w:val="12"/>
        </w:rPr>
        <w:t>Proyectó:</w:t>
      </w:r>
      <w:r>
        <w:rPr>
          <w:rFonts w:ascii="Verdana" w:eastAsia="Verdana" w:hAnsi="Verdana" w:cs="Verdana"/>
          <w:i w:val="0"/>
          <w:sz w:val="12"/>
          <w:szCs w:val="12"/>
        </w:rPr>
        <w:t xml:space="preserve"> </w:t>
      </w:r>
      <w:r>
        <w:rPr>
          <w:rFonts w:ascii="Verdana" w:eastAsia="Verdana" w:hAnsi="Verdana" w:cs="Verdana"/>
          <w:i w:val="0"/>
          <w:sz w:val="12"/>
          <w:szCs w:val="12"/>
        </w:rPr>
        <w:t>Caterine Benítez Cárdenas</w:t>
      </w:r>
    </w:p>
    <w:p w14:paraId="16AFF6FC" w14:textId="4FF66AB5" w:rsidR="009D0509" w:rsidRPr="009D0509" w:rsidRDefault="009D0509" w:rsidP="009D0509">
      <w:pPr>
        <w:ind w:left="567"/>
        <w:rPr>
          <w:rFonts w:ascii="Verdana" w:eastAsia="Verdana" w:hAnsi="Verdana" w:cs="Verdana"/>
          <w:i w:val="0"/>
          <w:color w:val="000000"/>
          <w:sz w:val="12"/>
          <w:szCs w:val="12"/>
        </w:rPr>
      </w:pPr>
      <w:hyperlink r:id="rId8" w:history="1">
        <w:proofErr w:type="spellStart"/>
        <w:r w:rsidRPr="009D0509">
          <w:rPr>
            <w:rStyle w:val="Hipervnculo"/>
            <w:rFonts w:ascii="Verdana" w:eastAsia="Verdana" w:hAnsi="Verdana" w:cs="Verdana"/>
            <w:i w:val="0"/>
            <w:color w:val="000000"/>
            <w:sz w:val="12"/>
            <w:szCs w:val="12"/>
            <w:u w:val="none"/>
          </w:rPr>
          <w:t>Ericka</w:t>
        </w:r>
        <w:proofErr w:type="spellEnd"/>
        <w:r w:rsidRPr="009D0509">
          <w:rPr>
            <w:rStyle w:val="Hipervnculo"/>
            <w:rFonts w:ascii="Verdana" w:eastAsia="Verdana" w:hAnsi="Verdana" w:cs="Verdana"/>
            <w:i w:val="0"/>
            <w:color w:val="000000"/>
            <w:sz w:val="12"/>
            <w:szCs w:val="12"/>
            <w:u w:val="none"/>
          </w:rPr>
          <w:t xml:space="preserve"> Marcela Cáceres Quevedo</w:t>
        </w:r>
      </w:hyperlink>
    </w:p>
    <w:p w14:paraId="77A2EA26" w14:textId="7EF8815F" w:rsidR="009D0509" w:rsidRPr="009D0509" w:rsidRDefault="009D0509" w:rsidP="009D0509">
      <w:pPr>
        <w:ind w:firstLine="567"/>
        <w:rPr>
          <w:rFonts w:ascii="Times New Roman" w:eastAsia="Arial" w:hAnsi="Times New Roman" w:cs="Times New Roman"/>
          <w:i w:val="0"/>
        </w:rPr>
      </w:pPr>
      <w:hyperlink r:id="rId9" w:history="1">
        <w:r w:rsidRPr="009D0509">
          <w:rPr>
            <w:rStyle w:val="Hipervnculo"/>
            <w:rFonts w:ascii="Verdana" w:eastAsia="Verdana" w:hAnsi="Verdana" w:cs="Verdana"/>
            <w:i w:val="0"/>
            <w:color w:val="000000"/>
            <w:sz w:val="12"/>
            <w:szCs w:val="12"/>
            <w:u w:val="none"/>
          </w:rPr>
          <w:t>Guillermo Alberto Duarte Quevedo</w:t>
        </w:r>
      </w:hyperlink>
      <w:r w:rsidRPr="009D0509">
        <w:rPr>
          <w:rFonts w:ascii="Times New Roman" w:hAnsi="Times New Roman" w:cs="Times New Roman"/>
          <w:i w:val="0"/>
        </w:rPr>
        <w:t xml:space="preserve"> </w:t>
      </w:r>
    </w:p>
    <w:p w14:paraId="23CEAFF1" w14:textId="6BED057D" w:rsidR="00F35982" w:rsidRPr="009D0509" w:rsidRDefault="000F7FD7" w:rsidP="009D0509">
      <w:pPr>
        <w:rPr>
          <w:rFonts w:ascii="Verdana" w:eastAsia="Verdana" w:hAnsi="Verdana" w:cs="Verdana"/>
          <w:i w:val="0"/>
          <w:sz w:val="12"/>
          <w:szCs w:val="12"/>
        </w:rPr>
      </w:pPr>
      <w:r w:rsidRPr="009D0509">
        <w:rPr>
          <w:rFonts w:ascii="Verdana" w:eastAsia="Verdana" w:hAnsi="Verdana" w:cs="Verdana"/>
          <w:i w:val="0"/>
          <w:sz w:val="12"/>
          <w:szCs w:val="12"/>
        </w:rPr>
        <w:t>Revisó:</w:t>
      </w:r>
      <w:r w:rsidR="009D0509">
        <w:rPr>
          <w:rFonts w:ascii="Verdana" w:eastAsia="Verdana" w:hAnsi="Verdana" w:cs="Verdana"/>
          <w:i w:val="0"/>
          <w:sz w:val="12"/>
          <w:szCs w:val="12"/>
        </w:rPr>
        <w:t xml:space="preserve">   </w:t>
      </w:r>
      <w:r w:rsidR="009D0509" w:rsidRPr="009D0509">
        <w:rPr>
          <w:rFonts w:ascii="Verdana" w:eastAsia="Verdana" w:hAnsi="Verdana" w:cs="Verdana"/>
          <w:i w:val="0"/>
          <w:sz w:val="12"/>
          <w:szCs w:val="12"/>
        </w:rPr>
        <w:t>Beatriz Leonela Lizcano Castro</w:t>
      </w:r>
    </w:p>
    <w:p w14:paraId="05D63255" w14:textId="4D485B8D" w:rsidR="00F35982" w:rsidRPr="009D0509" w:rsidRDefault="009D0509" w:rsidP="009D0509">
      <w:pPr>
        <w:rPr>
          <w:rFonts w:ascii="Verdana" w:eastAsia="Verdana" w:hAnsi="Verdana" w:cs="Verdana"/>
          <w:i w:val="0"/>
          <w:sz w:val="12"/>
          <w:szCs w:val="12"/>
        </w:rPr>
      </w:pPr>
      <w:r>
        <w:rPr>
          <w:rFonts w:ascii="Verdana" w:eastAsia="Verdana" w:hAnsi="Verdana" w:cs="Verdana"/>
          <w:i w:val="0"/>
          <w:sz w:val="12"/>
          <w:szCs w:val="12"/>
        </w:rPr>
        <w:t xml:space="preserve">              </w:t>
      </w:r>
      <w:proofErr w:type="spellStart"/>
      <w:r w:rsidRPr="009D0509">
        <w:rPr>
          <w:rFonts w:ascii="Verdana" w:eastAsia="Verdana" w:hAnsi="Verdana" w:cs="Verdana"/>
          <w:i w:val="0"/>
          <w:sz w:val="12"/>
          <w:szCs w:val="12"/>
        </w:rPr>
        <w:t>Jhaniela</w:t>
      </w:r>
      <w:proofErr w:type="spellEnd"/>
      <w:r w:rsidRPr="009D0509">
        <w:rPr>
          <w:rFonts w:ascii="Verdana" w:eastAsia="Verdana" w:hAnsi="Verdana" w:cs="Verdana"/>
          <w:i w:val="0"/>
          <w:sz w:val="12"/>
          <w:szCs w:val="12"/>
        </w:rPr>
        <w:t xml:space="preserve"> Jiménez Gutiérrez</w:t>
      </w:r>
    </w:p>
    <w:p w14:paraId="3F9C6BE7" w14:textId="0CC06DFE" w:rsidR="00F35982" w:rsidRPr="009D0509" w:rsidRDefault="009D0509" w:rsidP="009D0509">
      <w:pPr>
        <w:rPr>
          <w:rFonts w:ascii="Verdana" w:eastAsia="Verdana" w:hAnsi="Verdana" w:cs="Verdana"/>
          <w:i w:val="0"/>
          <w:sz w:val="12"/>
          <w:szCs w:val="12"/>
        </w:rPr>
      </w:pPr>
      <w:r>
        <w:rPr>
          <w:rFonts w:ascii="Verdana" w:eastAsia="Verdana" w:hAnsi="Verdana" w:cs="Verdana"/>
          <w:i w:val="0"/>
          <w:sz w:val="12"/>
          <w:szCs w:val="12"/>
        </w:rPr>
        <w:t xml:space="preserve">              </w:t>
      </w:r>
      <w:r w:rsidRPr="009D0509">
        <w:rPr>
          <w:rFonts w:ascii="Verdana" w:eastAsia="Verdana" w:hAnsi="Verdana" w:cs="Verdana"/>
          <w:i w:val="0"/>
          <w:sz w:val="12"/>
          <w:szCs w:val="12"/>
        </w:rPr>
        <w:t>Iván Mauricio Alemán Peñaranda</w:t>
      </w:r>
    </w:p>
    <w:p w14:paraId="4A84CF44" w14:textId="25641D30" w:rsidR="00F35982" w:rsidRPr="009D0509" w:rsidRDefault="009D0509" w:rsidP="009D0509">
      <w:pPr>
        <w:rPr>
          <w:rFonts w:ascii="Verdana" w:eastAsia="Verdana" w:hAnsi="Verdana" w:cs="Verdana"/>
          <w:i w:val="0"/>
          <w:sz w:val="12"/>
          <w:szCs w:val="12"/>
        </w:rPr>
      </w:pPr>
      <w:r>
        <w:rPr>
          <w:rFonts w:ascii="Verdana" w:eastAsia="Verdana" w:hAnsi="Verdana" w:cs="Verdana"/>
          <w:i w:val="0"/>
          <w:sz w:val="12"/>
          <w:szCs w:val="12"/>
        </w:rPr>
        <w:t xml:space="preserve">              </w:t>
      </w:r>
      <w:r w:rsidRPr="009D0509">
        <w:rPr>
          <w:rFonts w:ascii="Verdana" w:eastAsia="Verdana" w:hAnsi="Verdana" w:cs="Verdana"/>
          <w:i w:val="0"/>
          <w:sz w:val="12"/>
          <w:szCs w:val="12"/>
        </w:rPr>
        <w:t>Angelica María Zamora Acosta</w:t>
      </w:r>
    </w:p>
    <w:p w14:paraId="5FD63AFE" w14:textId="75626E08" w:rsidR="00F35982" w:rsidRPr="009D0509" w:rsidRDefault="009D0509" w:rsidP="009D0509">
      <w:pPr>
        <w:rPr>
          <w:rFonts w:ascii="Verdana" w:eastAsia="Verdana" w:hAnsi="Verdana" w:cs="Verdana"/>
          <w:i w:val="0"/>
          <w:sz w:val="12"/>
          <w:szCs w:val="12"/>
        </w:rPr>
      </w:pPr>
      <w:r>
        <w:rPr>
          <w:rFonts w:ascii="Verdana" w:eastAsia="Verdana" w:hAnsi="Verdana" w:cs="Verdana"/>
          <w:i w:val="0"/>
          <w:sz w:val="12"/>
          <w:szCs w:val="12"/>
        </w:rPr>
        <w:t xml:space="preserve">              </w:t>
      </w:r>
      <w:r w:rsidRPr="009D0509">
        <w:rPr>
          <w:rFonts w:ascii="Verdana" w:eastAsia="Verdana" w:hAnsi="Verdana" w:cs="Verdana"/>
          <w:i w:val="0"/>
          <w:sz w:val="12"/>
          <w:szCs w:val="12"/>
        </w:rPr>
        <w:t>Raiza Posada Cotes</w:t>
      </w:r>
    </w:p>
    <w:p w14:paraId="3F0EC1E4" w14:textId="2AF28058" w:rsidR="000F7FD7" w:rsidRPr="009D0509" w:rsidRDefault="009D0509" w:rsidP="009D0509">
      <w:pPr>
        <w:rPr>
          <w:rFonts w:ascii="Verdana" w:eastAsia="Verdana" w:hAnsi="Verdana" w:cs="Verdana"/>
          <w:i w:val="0"/>
          <w:sz w:val="12"/>
          <w:szCs w:val="12"/>
        </w:rPr>
      </w:pPr>
      <w:r>
        <w:rPr>
          <w:rFonts w:ascii="Verdana" w:eastAsia="Verdana" w:hAnsi="Verdana" w:cs="Verdana"/>
          <w:i w:val="0"/>
          <w:sz w:val="12"/>
          <w:szCs w:val="12"/>
        </w:rPr>
        <w:t xml:space="preserve">              </w:t>
      </w:r>
      <w:r w:rsidRPr="009D0509">
        <w:rPr>
          <w:rFonts w:ascii="Verdana" w:eastAsia="Verdana" w:hAnsi="Verdana" w:cs="Verdana"/>
          <w:i w:val="0"/>
          <w:sz w:val="12"/>
          <w:szCs w:val="12"/>
        </w:rPr>
        <w:t>Laura Sofia Prada Cardoso</w:t>
      </w:r>
    </w:p>
    <w:p w14:paraId="343110E2" w14:textId="77777777" w:rsidR="000F7FD7" w:rsidRPr="005806F8" w:rsidRDefault="000F7FD7" w:rsidP="0026227A">
      <w:pPr>
        <w:rPr>
          <w:rFonts w:ascii="Verdana" w:hAnsi="Verdana"/>
          <w:sz w:val="18"/>
          <w:szCs w:val="18"/>
          <w:lang w:val="es-MX"/>
        </w:rPr>
      </w:pPr>
    </w:p>
    <w:p w14:paraId="59618BC3" w14:textId="77777777" w:rsidR="000F7FD7" w:rsidRPr="005806F8" w:rsidRDefault="000F7FD7" w:rsidP="0026227A">
      <w:pPr>
        <w:rPr>
          <w:rFonts w:ascii="Verdana" w:hAnsi="Verdana"/>
          <w:sz w:val="18"/>
          <w:szCs w:val="18"/>
          <w:lang w:val="es-MX"/>
        </w:rPr>
      </w:pPr>
    </w:p>
    <w:p w14:paraId="0E3B93A1" w14:textId="77777777" w:rsidR="000F7FD7" w:rsidRPr="005806F8" w:rsidRDefault="000F7FD7" w:rsidP="0026227A">
      <w:pPr>
        <w:rPr>
          <w:rFonts w:ascii="Verdana" w:hAnsi="Verdana"/>
          <w:sz w:val="18"/>
          <w:szCs w:val="18"/>
          <w:lang w:val="es-MX"/>
        </w:rPr>
      </w:pPr>
    </w:p>
    <w:p w14:paraId="1E9B4E86" w14:textId="77777777" w:rsidR="000C0C1F" w:rsidRPr="005806F8" w:rsidRDefault="000C0C1F" w:rsidP="0026227A">
      <w:pPr>
        <w:tabs>
          <w:tab w:val="left" w:pos="5160"/>
        </w:tabs>
        <w:rPr>
          <w:rFonts w:ascii="Verdana" w:hAnsi="Verdana"/>
          <w:sz w:val="18"/>
          <w:szCs w:val="18"/>
          <w:lang w:val="es-MX"/>
        </w:rPr>
      </w:pPr>
    </w:p>
    <w:p w14:paraId="472025A6" w14:textId="77777777" w:rsidR="000C0C1F" w:rsidRPr="005806F8" w:rsidRDefault="000C0C1F" w:rsidP="000C0C1F">
      <w:pPr>
        <w:rPr>
          <w:rFonts w:ascii="Verdana" w:hAnsi="Verdana"/>
          <w:sz w:val="18"/>
          <w:szCs w:val="18"/>
          <w:lang w:val="es-MX"/>
        </w:rPr>
      </w:pPr>
    </w:p>
    <w:p w14:paraId="359FDB06" w14:textId="77777777" w:rsidR="009B02E7" w:rsidRPr="005806F8" w:rsidRDefault="009B02E7" w:rsidP="000C0C1F">
      <w:pPr>
        <w:rPr>
          <w:rFonts w:ascii="Verdana" w:hAnsi="Verdana"/>
          <w:sz w:val="18"/>
          <w:szCs w:val="18"/>
          <w:lang w:val="es-MX"/>
        </w:rPr>
      </w:pPr>
    </w:p>
    <w:p w14:paraId="5E1FEE68" w14:textId="77777777" w:rsidR="0066566A" w:rsidRPr="005806F8" w:rsidRDefault="0066566A" w:rsidP="000C0C1F">
      <w:pPr>
        <w:rPr>
          <w:rFonts w:ascii="Verdana" w:hAnsi="Verdana"/>
          <w:sz w:val="18"/>
          <w:szCs w:val="18"/>
          <w:lang w:val="es-MX"/>
        </w:rPr>
      </w:pPr>
    </w:p>
    <w:p w14:paraId="0A0A0625" w14:textId="77777777" w:rsidR="0066566A" w:rsidRPr="005806F8" w:rsidRDefault="0066566A" w:rsidP="000C0C1F">
      <w:pPr>
        <w:rPr>
          <w:rFonts w:ascii="Verdana" w:hAnsi="Verdana"/>
          <w:sz w:val="18"/>
          <w:szCs w:val="18"/>
          <w:lang w:val="es-MX"/>
        </w:rPr>
      </w:pPr>
    </w:p>
    <w:p w14:paraId="3D9A5E4E" w14:textId="77777777" w:rsidR="0066566A" w:rsidRDefault="0066566A" w:rsidP="000C0C1F">
      <w:pPr>
        <w:rPr>
          <w:sz w:val="18"/>
          <w:szCs w:val="18"/>
          <w:lang w:val="es-MX"/>
        </w:rPr>
      </w:pPr>
    </w:p>
    <w:p w14:paraId="6620BE42" w14:textId="7D132AD8" w:rsidR="0066566A" w:rsidRDefault="0066566A" w:rsidP="000C0C1F">
      <w:pPr>
        <w:rPr>
          <w:sz w:val="18"/>
          <w:szCs w:val="18"/>
          <w:lang w:val="es-MX"/>
        </w:rPr>
      </w:pPr>
    </w:p>
    <w:p w14:paraId="1FBB85DB" w14:textId="780AE936" w:rsidR="005806F8" w:rsidRDefault="005806F8" w:rsidP="000C0C1F">
      <w:pPr>
        <w:rPr>
          <w:sz w:val="18"/>
          <w:szCs w:val="18"/>
          <w:lang w:val="es-MX"/>
        </w:rPr>
      </w:pPr>
    </w:p>
    <w:p w14:paraId="55A1C7D5" w14:textId="3A7C231A" w:rsidR="005806F8" w:rsidRDefault="005806F8" w:rsidP="000C0C1F">
      <w:pPr>
        <w:rPr>
          <w:sz w:val="18"/>
          <w:szCs w:val="18"/>
          <w:lang w:val="es-MX"/>
        </w:rPr>
      </w:pPr>
    </w:p>
    <w:p w14:paraId="475B656D" w14:textId="184EDD4B" w:rsidR="005806F8" w:rsidRDefault="005806F8" w:rsidP="000C0C1F">
      <w:pPr>
        <w:rPr>
          <w:sz w:val="18"/>
          <w:szCs w:val="18"/>
          <w:lang w:val="es-MX"/>
        </w:rPr>
      </w:pPr>
    </w:p>
    <w:p w14:paraId="248C3FCB" w14:textId="77777777" w:rsidR="005806F8" w:rsidRPr="000C0C1F" w:rsidRDefault="005806F8" w:rsidP="000C0C1F">
      <w:pPr>
        <w:rPr>
          <w:sz w:val="18"/>
          <w:szCs w:val="18"/>
          <w:lang w:val="es-MX"/>
        </w:rPr>
      </w:pPr>
    </w:p>
    <w:sectPr w:rsidR="005806F8" w:rsidRPr="000C0C1F" w:rsidSect="00E20347">
      <w:headerReference w:type="default" r:id="rId10"/>
      <w:footerReference w:type="default" r:id="rId11"/>
      <w:headerReference w:type="first" r:id="rId12"/>
      <w:footerReference w:type="first" r:id="rId13"/>
      <w:footnotePr>
        <w:pos w:val="beneathText"/>
      </w:footnotePr>
      <w:pgSz w:w="12242" w:h="15842" w:code="1"/>
      <w:pgMar w:top="1525" w:right="1418"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11C6C" w14:textId="77777777" w:rsidR="002A21E8" w:rsidRDefault="002A21E8">
      <w:r>
        <w:separator/>
      </w:r>
    </w:p>
  </w:endnote>
  <w:endnote w:type="continuationSeparator" w:id="0">
    <w:p w14:paraId="17527B8F" w14:textId="77777777" w:rsidR="002A21E8" w:rsidRDefault="002A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DB39" w14:textId="1B75C595" w:rsidR="005806F8" w:rsidRDefault="005806F8">
    <w:pPr>
      <w:pStyle w:val="Piedepgina"/>
    </w:pPr>
    <w:r>
      <w:rPr>
        <w:noProof/>
        <w:lang w:eastAsia="es-CO"/>
      </w:rPr>
      <mc:AlternateContent>
        <mc:Choice Requires="wps">
          <w:drawing>
            <wp:anchor distT="0" distB="0" distL="114300" distR="114300" simplePos="0" relativeHeight="251702272" behindDoc="0" locked="0" layoutInCell="1" allowOverlap="1" wp14:anchorId="03141C49" wp14:editId="34C9A450">
              <wp:simplePos x="0" y="0"/>
              <wp:positionH relativeFrom="page">
                <wp:posOffset>1203960</wp:posOffset>
              </wp:positionH>
              <wp:positionV relativeFrom="paragraph">
                <wp:posOffset>162560</wp:posOffset>
              </wp:positionV>
              <wp:extent cx="5391150" cy="1229995"/>
              <wp:effectExtent l="0" t="0" r="0" b="0"/>
              <wp:wrapThrough wrapText="bothSides">
                <wp:wrapPolygon edited="0">
                  <wp:start x="229" y="0"/>
                  <wp:lineTo x="229" y="21076"/>
                  <wp:lineTo x="21371" y="21076"/>
                  <wp:lineTo x="21371" y="0"/>
                  <wp:lineTo x="229" y="0"/>
                </wp:wrapPolygon>
              </wp:wrapThrough>
              <wp:docPr id="8"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41C49" id="_x0000_t202" coordsize="21600,21600" o:spt="202" path="m,l,21600r21600,l21600,xe">
              <v:stroke joinstyle="miter"/>
              <v:path gradientshapeok="t" o:connecttype="rect"/>
            </v:shapetype>
            <v:shape id="Cuadro de texto 1" o:spid="_x0000_s1026" type="#_x0000_t202" style="position:absolute;margin-left:94.8pt;margin-top:12.8pt;width:424.5pt;height:96.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" filled="f" stroked="f" strokeweight=".5pt">
              <v:textbox>
                <w:txbxContent>
                  <w:p w14:paraId="4523D635" w14:textId="59097024" w:rsidR="006E5D83" w:rsidRPr="005806F8" w:rsidRDefault="006E5D83" w:rsidP="006E5D83">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sidR="005806F8">
                      <w:rPr>
                        <w:rFonts w:ascii="Verdana" w:hAnsi="Verdana"/>
                        <w:sz w:val="18"/>
                        <w:szCs w:val="18"/>
                      </w:rPr>
                      <w:t>__</w:t>
                    </w:r>
                  </w:p>
                  <w:p w14:paraId="0ADD79D0" w14:textId="77777777" w:rsidR="006E5D83" w:rsidRPr="005806F8" w:rsidRDefault="006E5D83" w:rsidP="006E5D83">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D96C9C5"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Avenida Calle 24 (Esperanza) N° 60-50 Piso 8 Centro Empresarial Gran Estación</w:t>
                    </w:r>
                  </w:p>
                  <w:p w14:paraId="4CC78706" w14:textId="77777777" w:rsidR="006E5D83" w:rsidRPr="005806F8" w:rsidRDefault="006E5D83" w:rsidP="006E5D83">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1D93BFC8" w14:textId="77777777" w:rsidR="006E5D83" w:rsidRPr="005806F8" w:rsidRDefault="006E5D83" w:rsidP="006E5D83">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15113217" w14:textId="52337754" w:rsidR="00B16792" w:rsidRDefault="00B16792">
    <w:pPr>
      <w:pStyle w:val="Piedepgina"/>
    </w:pPr>
  </w:p>
  <w:p w14:paraId="624B3505" w14:textId="77777777" w:rsidR="00B16792" w:rsidRDefault="00B16792">
    <w:pPr>
      <w:pStyle w:val="Piedepgina"/>
    </w:pPr>
  </w:p>
  <w:p w14:paraId="4CC4681F" w14:textId="77777777" w:rsidR="009B02E7" w:rsidRDefault="009B02E7">
    <w:pPr>
      <w:pStyle w:val="Piedepgina"/>
    </w:pPr>
  </w:p>
  <w:p w14:paraId="25DB4D52" w14:textId="160893F5" w:rsidR="009B02E7" w:rsidRDefault="009B02E7">
    <w:pPr>
      <w:pStyle w:val="Piedepgina"/>
    </w:pPr>
  </w:p>
  <w:p w14:paraId="69321762" w14:textId="1985F9C7" w:rsidR="009B02E7" w:rsidRDefault="009B02E7">
    <w:pPr>
      <w:pStyle w:val="Piedepgina"/>
    </w:pPr>
  </w:p>
  <w:p w14:paraId="41B7E737" w14:textId="77777777" w:rsidR="009B02E7" w:rsidRDefault="009B02E7">
    <w:pPr>
      <w:pStyle w:val="Piedepgina"/>
    </w:pPr>
  </w:p>
  <w:p w14:paraId="472DEFF0" w14:textId="77777777" w:rsidR="009B02E7" w:rsidRDefault="009B02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89F0" w14:textId="7B58DA7C" w:rsidR="00B16792" w:rsidRDefault="005806F8"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704320" behindDoc="0" locked="0" layoutInCell="1" allowOverlap="1" wp14:anchorId="3D12E246" wp14:editId="40FC236E">
              <wp:simplePos x="0" y="0"/>
              <wp:positionH relativeFrom="page">
                <wp:align>center</wp:align>
              </wp:positionH>
              <wp:positionV relativeFrom="paragraph">
                <wp:posOffset>56515</wp:posOffset>
              </wp:positionV>
              <wp:extent cx="5391150" cy="1229995"/>
              <wp:effectExtent l="0" t="0" r="0" b="0"/>
              <wp:wrapThrough wrapText="bothSides">
                <wp:wrapPolygon edited="0">
                  <wp:start x="229" y="0"/>
                  <wp:lineTo x="229" y="21076"/>
                  <wp:lineTo x="21371" y="21076"/>
                  <wp:lineTo x="21371" y="0"/>
                  <wp:lineTo x="229" y="0"/>
                </wp:wrapPolygon>
              </wp:wrapThrough>
              <wp:docPr id="3" name="Cuadro de texto 1"/>
              <wp:cNvGraphicFramePr/>
              <a:graphic xmlns:a="http://schemas.openxmlformats.org/drawingml/2006/main">
                <a:graphicData uri="http://schemas.microsoft.com/office/word/2010/wordprocessingShape">
                  <wps:wsp>
                    <wps:cNvSpPr txBox="1"/>
                    <wps:spPr>
                      <a:xfrm>
                        <a:off x="0" y="0"/>
                        <a:ext cx="5391150" cy="1229995"/>
                      </a:xfrm>
                      <a:prstGeom prst="rect">
                        <a:avLst/>
                      </a:prstGeom>
                      <a:noFill/>
                      <a:ln w="6350">
                        <a:noFill/>
                      </a:ln>
                    </wps:spPr>
                    <wps:txb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2E246" id="_x0000_t202" coordsize="21600,21600" o:spt="202" path="m,l,21600r21600,l21600,xe">
              <v:stroke joinstyle="miter"/>
              <v:path gradientshapeok="t" o:connecttype="rect"/>
            </v:shapetype>
            <v:shape id="_x0000_s1027" type="#_x0000_t202" style="position:absolute;left:0;text-align:left;margin-left:0;margin-top:4.45pt;width:424.5pt;height:96.85pt;z-index:2517043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" filled="f" stroked="f" strokeweight=".5pt">
              <v:textbox>
                <w:txbxContent>
                  <w:p w14:paraId="4D4503A6" w14:textId="77777777" w:rsidR="005806F8" w:rsidRPr="005806F8" w:rsidRDefault="005806F8" w:rsidP="005806F8">
                    <w:pPr>
                      <w:spacing w:line="276" w:lineRule="auto"/>
                      <w:jc w:val="both"/>
                      <w:rPr>
                        <w:rFonts w:ascii="Verdana" w:hAnsi="Verdana"/>
                        <w:sz w:val="18"/>
                        <w:szCs w:val="18"/>
                      </w:rPr>
                    </w:pPr>
                    <w:r w:rsidRPr="005806F8">
                      <w:rPr>
                        <w:rFonts w:ascii="Verdana" w:hAnsi="Verdana"/>
                        <w:sz w:val="18"/>
                        <w:szCs w:val="18"/>
                      </w:rPr>
                      <w:t>____________________________________________________________________</w:t>
                    </w:r>
                    <w:r>
                      <w:rPr>
                        <w:rFonts w:ascii="Verdana" w:hAnsi="Verdana"/>
                        <w:sz w:val="18"/>
                        <w:szCs w:val="18"/>
                      </w:rPr>
                      <w:t>__</w:t>
                    </w:r>
                  </w:p>
                  <w:p w14:paraId="6BA9C48E" w14:textId="77777777" w:rsidR="005806F8" w:rsidRPr="005806F8" w:rsidRDefault="005806F8" w:rsidP="005806F8">
                    <w:pPr>
                      <w:spacing w:line="276" w:lineRule="auto"/>
                      <w:jc w:val="both"/>
                      <w:rPr>
                        <w:rFonts w:ascii="Verdana" w:hAnsi="Verdana"/>
                        <w:b/>
                        <w:bCs/>
                        <w:i w:val="0"/>
                        <w:iCs/>
                        <w:sz w:val="18"/>
                        <w:szCs w:val="18"/>
                      </w:rPr>
                    </w:pPr>
                    <w:r w:rsidRPr="005806F8">
                      <w:rPr>
                        <w:rFonts w:ascii="Verdana" w:hAnsi="Verdana"/>
                        <w:b/>
                        <w:bCs/>
                        <w:i w:val="0"/>
                        <w:iCs/>
                        <w:sz w:val="18"/>
                        <w:szCs w:val="18"/>
                      </w:rPr>
                      <w:t>Superintendencia de la Economía Solidaria</w:t>
                    </w:r>
                  </w:p>
                  <w:p w14:paraId="6AE65FD6"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 xml:space="preserve">Avenida Calle 24 (Esperanza) </w:t>
                    </w:r>
                    <w:proofErr w:type="spellStart"/>
                    <w:r w:rsidRPr="005806F8">
                      <w:rPr>
                        <w:rFonts w:ascii="Verdana" w:hAnsi="Verdana"/>
                        <w:bCs/>
                        <w:i w:val="0"/>
                        <w:iCs/>
                        <w:sz w:val="18"/>
                        <w:szCs w:val="18"/>
                      </w:rPr>
                      <w:t>N°</w:t>
                    </w:r>
                    <w:proofErr w:type="spellEnd"/>
                    <w:r w:rsidRPr="005806F8">
                      <w:rPr>
                        <w:rFonts w:ascii="Verdana" w:hAnsi="Verdana"/>
                        <w:bCs/>
                        <w:i w:val="0"/>
                        <w:iCs/>
                        <w:sz w:val="18"/>
                        <w:szCs w:val="18"/>
                      </w:rPr>
                      <w:t xml:space="preserve"> 60-50 Piso 8 Centro Empresarial Gran Estación</w:t>
                    </w:r>
                  </w:p>
                  <w:p w14:paraId="22F79672" w14:textId="77777777" w:rsidR="005806F8" w:rsidRPr="005806F8" w:rsidRDefault="005806F8" w:rsidP="005806F8">
                    <w:pPr>
                      <w:spacing w:line="276" w:lineRule="auto"/>
                      <w:jc w:val="both"/>
                      <w:rPr>
                        <w:rFonts w:ascii="Verdana" w:hAnsi="Verdana"/>
                        <w:bCs/>
                        <w:i w:val="0"/>
                        <w:iCs/>
                        <w:sz w:val="18"/>
                        <w:szCs w:val="18"/>
                      </w:rPr>
                    </w:pPr>
                    <w:r w:rsidRPr="005806F8">
                      <w:rPr>
                        <w:rFonts w:ascii="Verdana" w:hAnsi="Verdana"/>
                        <w:bCs/>
                        <w:i w:val="0"/>
                        <w:iCs/>
                        <w:sz w:val="18"/>
                        <w:szCs w:val="18"/>
                      </w:rPr>
                      <w:t>PBX: (+57) (601)7 560 557</w:t>
                    </w:r>
                  </w:p>
                  <w:p w14:paraId="0F535714" w14:textId="77777777" w:rsidR="005806F8" w:rsidRPr="005806F8" w:rsidRDefault="005806F8" w:rsidP="005806F8">
                    <w:pPr>
                      <w:spacing w:line="276" w:lineRule="auto"/>
                      <w:jc w:val="both"/>
                      <w:rPr>
                        <w:rFonts w:ascii="Verdana" w:hAnsi="Verdana"/>
                        <w:i w:val="0"/>
                        <w:iCs/>
                        <w:sz w:val="18"/>
                        <w:szCs w:val="18"/>
                      </w:rPr>
                    </w:pPr>
                    <w:r w:rsidRPr="005806F8">
                      <w:rPr>
                        <w:rFonts w:ascii="Verdana" w:hAnsi="Verdana"/>
                        <w:bCs/>
                        <w:i w:val="0"/>
                        <w:iCs/>
                        <w:sz w:val="18"/>
                        <w:szCs w:val="18"/>
                      </w:rPr>
                      <w:t>Línea Gratis: 018000-180-430</w:t>
                    </w:r>
                  </w:p>
                </w:txbxContent>
              </v:textbox>
              <w10:wrap type="through" anchorx="page"/>
            </v:shape>
          </w:pict>
        </mc:Fallback>
      </mc:AlternateContent>
    </w:r>
  </w:p>
  <w:p w14:paraId="00471487" w14:textId="1FC1AA3F" w:rsidR="005806F8" w:rsidRDefault="005806F8" w:rsidP="00E20347">
    <w:pPr>
      <w:pStyle w:val="Piedepgina"/>
      <w:tabs>
        <w:tab w:val="center" w:pos="993"/>
      </w:tabs>
      <w:spacing w:line="0" w:lineRule="atLeast"/>
      <w:ind w:left="-1701"/>
      <w:rPr>
        <w:b/>
        <w:bCs/>
        <w:i w:val="0"/>
        <w:iCs/>
        <w:w w:val="200"/>
        <w:sz w:val="14"/>
        <w:szCs w:val="14"/>
      </w:rPr>
    </w:pPr>
  </w:p>
  <w:p w14:paraId="7887B845" w14:textId="09B521B6" w:rsidR="005806F8" w:rsidRDefault="005806F8" w:rsidP="00E20347">
    <w:pPr>
      <w:pStyle w:val="Piedepgina"/>
      <w:tabs>
        <w:tab w:val="center" w:pos="993"/>
      </w:tabs>
      <w:spacing w:line="0" w:lineRule="atLeast"/>
      <w:ind w:left="-1701"/>
      <w:rPr>
        <w:b/>
        <w:bCs/>
        <w:i w:val="0"/>
        <w:iCs/>
        <w:w w:val="200"/>
        <w:sz w:val="14"/>
        <w:szCs w:val="14"/>
      </w:rPr>
    </w:pPr>
  </w:p>
  <w:p w14:paraId="04DAF34D" w14:textId="1AC2B665" w:rsidR="005806F8" w:rsidRDefault="005806F8" w:rsidP="00E20347">
    <w:pPr>
      <w:pStyle w:val="Piedepgina"/>
      <w:tabs>
        <w:tab w:val="center" w:pos="993"/>
      </w:tabs>
      <w:spacing w:line="0" w:lineRule="atLeast"/>
      <w:ind w:left="-1701"/>
      <w:rPr>
        <w:b/>
        <w:bCs/>
        <w:i w:val="0"/>
        <w:iCs/>
        <w:w w:val="200"/>
        <w:sz w:val="14"/>
        <w:szCs w:val="14"/>
      </w:rPr>
    </w:pPr>
  </w:p>
  <w:p w14:paraId="3ADBF12C" w14:textId="46E24C0B" w:rsidR="005806F8" w:rsidRDefault="005806F8" w:rsidP="00E20347">
    <w:pPr>
      <w:pStyle w:val="Piedepgina"/>
      <w:tabs>
        <w:tab w:val="center" w:pos="993"/>
      </w:tabs>
      <w:spacing w:line="0" w:lineRule="atLeast"/>
      <w:ind w:left="-1701"/>
      <w:rPr>
        <w:b/>
        <w:bCs/>
        <w:i w:val="0"/>
        <w:iCs/>
        <w:w w:val="200"/>
        <w:sz w:val="14"/>
        <w:szCs w:val="14"/>
      </w:rPr>
    </w:pPr>
  </w:p>
  <w:p w14:paraId="728C208E" w14:textId="04C9CA45" w:rsidR="005806F8" w:rsidRDefault="005806F8" w:rsidP="00E20347">
    <w:pPr>
      <w:pStyle w:val="Piedepgina"/>
      <w:tabs>
        <w:tab w:val="center" w:pos="993"/>
      </w:tabs>
      <w:spacing w:line="0" w:lineRule="atLeast"/>
      <w:ind w:left="-1701"/>
      <w:rPr>
        <w:b/>
        <w:bCs/>
        <w:i w:val="0"/>
        <w:iCs/>
        <w:w w:val="200"/>
        <w:sz w:val="14"/>
        <w:szCs w:val="14"/>
      </w:rPr>
    </w:pPr>
  </w:p>
  <w:p w14:paraId="4C617515" w14:textId="23E806A8" w:rsidR="005806F8" w:rsidRDefault="005806F8" w:rsidP="00E20347">
    <w:pPr>
      <w:pStyle w:val="Piedepgina"/>
      <w:tabs>
        <w:tab w:val="center" w:pos="993"/>
      </w:tabs>
      <w:spacing w:line="0" w:lineRule="atLeast"/>
      <w:ind w:left="-1701"/>
      <w:rPr>
        <w:b/>
        <w:bCs/>
        <w:i w:val="0"/>
        <w:iCs/>
        <w:w w:val="200"/>
        <w:sz w:val="14"/>
        <w:szCs w:val="14"/>
      </w:rPr>
    </w:pPr>
  </w:p>
  <w:p w14:paraId="175430C1" w14:textId="77777777" w:rsidR="005806F8" w:rsidRDefault="005806F8" w:rsidP="00E20347">
    <w:pPr>
      <w:pStyle w:val="Piedepgina"/>
      <w:tabs>
        <w:tab w:val="center" w:pos="993"/>
      </w:tabs>
      <w:spacing w:line="0" w:lineRule="atLeast"/>
      <w:ind w:left="-1701"/>
      <w:rPr>
        <w:b/>
        <w:bCs/>
        <w:i w:val="0"/>
        <w:iCs/>
        <w:w w:val="200"/>
        <w:sz w:val="14"/>
        <w:szCs w:val="14"/>
      </w:rPr>
    </w:pPr>
  </w:p>
  <w:p w14:paraId="09858C8D" w14:textId="77777777" w:rsidR="005806F8" w:rsidRDefault="005806F8" w:rsidP="00E20347">
    <w:pPr>
      <w:pStyle w:val="Piedepgina"/>
      <w:tabs>
        <w:tab w:val="center" w:pos="993"/>
      </w:tabs>
      <w:spacing w:line="0" w:lineRule="atLeast"/>
      <w:ind w:left="-1701"/>
      <w:rPr>
        <w:b/>
        <w:bCs/>
        <w:i w:val="0"/>
        <w:iCs/>
        <w:w w:val="200"/>
        <w:sz w:val="14"/>
        <w:szCs w:val="14"/>
      </w:rPr>
    </w:pPr>
  </w:p>
  <w:p w14:paraId="4D1C2F07" w14:textId="3A30C095" w:rsidR="005806F8" w:rsidRDefault="005806F8" w:rsidP="00E20347">
    <w:pPr>
      <w:pStyle w:val="Piedepgina"/>
      <w:tabs>
        <w:tab w:val="center" w:pos="993"/>
      </w:tabs>
      <w:spacing w:line="0" w:lineRule="atLeast"/>
      <w:ind w:left="-1701"/>
      <w:rPr>
        <w:b/>
        <w:bCs/>
        <w:i w:val="0"/>
        <w:iCs/>
        <w:w w:val="200"/>
        <w:sz w:val="14"/>
        <w:szCs w:val="14"/>
      </w:rPr>
    </w:pPr>
  </w:p>
  <w:p w14:paraId="075A35D3" w14:textId="57CDC235" w:rsidR="00B16792" w:rsidRDefault="00B16792" w:rsidP="00E20347">
    <w:pPr>
      <w:pStyle w:val="Piedepgina"/>
      <w:tabs>
        <w:tab w:val="center" w:pos="993"/>
      </w:tabs>
      <w:spacing w:line="0" w:lineRule="atLeast"/>
      <w:ind w:left="-1701"/>
      <w:rPr>
        <w:b/>
        <w:bCs/>
        <w:i w:val="0"/>
        <w:iCs/>
        <w:w w:val="200"/>
        <w:sz w:val="14"/>
        <w:szCs w:val="14"/>
      </w:rPr>
    </w:pPr>
  </w:p>
  <w:p w14:paraId="465DEA8A" w14:textId="60657212" w:rsidR="000F7FD7" w:rsidRPr="00E20347" w:rsidRDefault="006646E0" w:rsidP="00E20347">
    <w:pPr>
      <w:pStyle w:val="Piedepgina"/>
      <w:tabs>
        <w:tab w:val="center" w:pos="993"/>
      </w:tabs>
      <w:spacing w:line="0" w:lineRule="atLeast"/>
      <w:ind w:left="-1701"/>
      <w:rPr>
        <w:b/>
        <w:bCs/>
        <w:i w:val="0"/>
        <w:iCs/>
        <w:w w:val="200"/>
        <w:sz w:val="14"/>
        <w:szCs w:val="14"/>
      </w:rPr>
    </w:pPr>
    <w:r>
      <w:rPr>
        <w:noProof/>
        <w:lang w:eastAsia="es-CO"/>
      </w:rPr>
      <mc:AlternateContent>
        <mc:Choice Requires="wps">
          <w:drawing>
            <wp:anchor distT="0" distB="0" distL="114300" distR="114300" simplePos="0" relativeHeight="251686912" behindDoc="0" locked="0" layoutInCell="1" allowOverlap="1" wp14:anchorId="39830FF5" wp14:editId="2ED6043E">
              <wp:simplePos x="0" y="0"/>
              <wp:positionH relativeFrom="column">
                <wp:posOffset>915507</wp:posOffset>
              </wp:positionH>
              <wp:positionV relativeFrom="paragraph">
                <wp:posOffset>386080</wp:posOffset>
              </wp:positionV>
              <wp:extent cx="6098150" cy="684309"/>
              <wp:effectExtent l="0" t="0" r="0" b="1905"/>
              <wp:wrapNone/>
              <wp:docPr id="25" name="Cuadro de texto 25"/>
              <wp:cNvGraphicFramePr/>
              <a:graphic xmlns:a="http://schemas.openxmlformats.org/drawingml/2006/main">
                <a:graphicData uri="http://schemas.microsoft.com/office/word/2010/wordprocessingShape">
                  <wps:wsp>
                    <wps:cNvSpPr txBox="1"/>
                    <wps:spPr>
                      <a:xfrm>
                        <a:off x="0" y="0"/>
                        <a:ext cx="6098150" cy="68430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30FF5" id="Cuadro de texto 25" o:spid="_x0000_s1028" type="#_x0000_t202" style="position:absolute;left:0;text-align:left;margin-left:72.1pt;margin-top:30.4pt;width:480.15pt;height:5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" filled="f" stroked="f">
              <v:textbox>
                <w:txbxContent>
                  <w:p w14:paraId="4549FBB5" w14:textId="77777777" w:rsidR="006646E0" w:rsidRPr="004D7D98" w:rsidRDefault="006646E0" w:rsidP="006646E0">
                    <w:pPr>
                      <w:pStyle w:val="Piedepgina"/>
                      <w:tabs>
                        <w:tab w:val="center" w:pos="993"/>
                      </w:tabs>
                      <w:spacing w:line="40" w:lineRule="atLeast"/>
                      <w:ind w:left="-3407" w:right="170"/>
                      <w:jc w:val="center"/>
                      <w:rPr>
                        <w:i w:val="0"/>
                        <w:sz w:val="15"/>
                      </w:rPr>
                    </w:pPr>
                    <w:r w:rsidRPr="004D7D98">
                      <w:rPr>
                        <w:i w:val="0"/>
                        <w:sz w:val="15"/>
                      </w:rPr>
                      <w:t xml:space="preserve">Carrera 7 No. 31-10 Piso 11. </w:t>
                    </w:r>
                    <w:r w:rsidRPr="004D7D98">
                      <w:rPr>
                        <w:i w:val="0"/>
                        <w:sz w:val="15"/>
                        <w:lang w:val="fr-FR"/>
                      </w:rPr>
                      <w:t>PBX (1) 7 560 557.  Línea Gratuita 018000 180 430</w:t>
                    </w:r>
                    <w:r w:rsidRPr="004D7D98">
                      <w:rPr>
                        <w:i w:val="0"/>
                        <w:sz w:val="6"/>
                        <w:szCs w:val="6"/>
                      </w:rPr>
                      <w:br/>
                    </w:r>
                    <w:r w:rsidRPr="004D7D98">
                      <w:rPr>
                        <w:i w:val="0"/>
                        <w:sz w:val="15"/>
                      </w:rPr>
                      <w:t>www.supersolidaria.gov.co</w:t>
                    </w:r>
                  </w:p>
                  <w:p w14:paraId="424A1BA1" w14:textId="77777777" w:rsidR="006646E0" w:rsidRPr="004D7D98" w:rsidRDefault="006646E0" w:rsidP="006646E0">
                    <w:pPr>
                      <w:pStyle w:val="Piedepgina"/>
                      <w:tabs>
                        <w:tab w:val="center" w:pos="993"/>
                      </w:tabs>
                      <w:ind w:left="-3407" w:right="170"/>
                      <w:jc w:val="center"/>
                      <w:rPr>
                        <w:i w:val="0"/>
                      </w:rPr>
                    </w:pPr>
                    <w:r w:rsidRPr="004D7D98">
                      <w:rPr>
                        <w:i w:val="0"/>
                        <w:sz w:val="15"/>
                      </w:rPr>
                      <w:t>NIT: 830.053.043 5 Bogotá D.C., Colombia</w:t>
                    </w:r>
                  </w:p>
                  <w:p w14:paraId="3012D744" w14:textId="77777777" w:rsidR="006646E0" w:rsidRDefault="006646E0" w:rsidP="006646E0">
                    <w:pPr>
                      <w:ind w:left="-3407"/>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C3FA" w14:textId="77777777" w:rsidR="002A21E8" w:rsidRDefault="002A21E8">
      <w:r>
        <w:separator/>
      </w:r>
    </w:p>
  </w:footnote>
  <w:footnote w:type="continuationSeparator" w:id="0">
    <w:p w14:paraId="289D8D69" w14:textId="77777777" w:rsidR="002A21E8" w:rsidRDefault="002A21E8">
      <w:r>
        <w:continuationSeparator/>
      </w:r>
    </w:p>
  </w:footnote>
  <w:footnote w:id="1">
    <w:p w14:paraId="3FFDB462" w14:textId="77777777" w:rsidR="009D0509" w:rsidRDefault="009D0509" w:rsidP="009D0509">
      <w:pPr>
        <w:spacing w:line="252" w:lineRule="auto"/>
        <w:jc w:val="both"/>
        <w:rPr>
          <w:rFonts w:ascii="Verdana" w:eastAsia="Verdana" w:hAnsi="Verdana" w:cs="Verdana"/>
          <w:i w:val="0"/>
          <w:sz w:val="16"/>
          <w:szCs w:val="16"/>
        </w:rPr>
      </w:pPr>
      <w:r>
        <w:rPr>
          <w:vertAlign w:val="superscript"/>
        </w:rPr>
        <w:footnoteRef/>
      </w:r>
      <w:r>
        <w:rPr>
          <w:rFonts w:ascii="Verdana" w:eastAsia="Verdana" w:hAnsi="Verdana" w:cs="Verdana"/>
          <w:i w:val="0"/>
          <w:sz w:val="16"/>
          <w:szCs w:val="16"/>
        </w:rPr>
        <w:t xml:space="preserve"> Que adiciona el Título 5 a la Parte 11 del Libro 2 del Decreto 1068 de 2015, Decreto Único Reglamentario del Sector Hacienda y Crédito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F76E2" w14:textId="5B75776A" w:rsidR="009B02E7" w:rsidRDefault="009B02E7" w:rsidP="00C64ECE">
    <w:pPr>
      <w:pStyle w:val="Encabezado"/>
      <w:ind w:left="-709" w:right="-942"/>
    </w:pPr>
  </w:p>
  <w:p w14:paraId="477F0E57" w14:textId="4473104C" w:rsidR="009B02E7" w:rsidRDefault="006E5D83" w:rsidP="00C64ECE">
    <w:pPr>
      <w:pStyle w:val="Encabezado"/>
      <w:ind w:left="-709" w:right="-942"/>
    </w:pPr>
    <w:r>
      <w:rPr>
        <w:noProof/>
        <w:lang w:eastAsia="es-CO"/>
      </w:rPr>
      <w:drawing>
        <wp:anchor distT="0" distB="0" distL="114300" distR="114300" simplePos="0" relativeHeight="251700224" behindDoc="0" locked="0" layoutInCell="1" allowOverlap="1" wp14:anchorId="62F0ABB6" wp14:editId="181AA550">
          <wp:simplePos x="0" y="0"/>
          <wp:positionH relativeFrom="column">
            <wp:posOffset>1815465</wp:posOffset>
          </wp:positionH>
          <wp:positionV relativeFrom="paragraph">
            <wp:posOffset>5715</wp:posOffset>
          </wp:positionV>
          <wp:extent cx="2161905" cy="971429"/>
          <wp:effectExtent l="0" t="0" r="0" b="635"/>
          <wp:wrapThrough wrapText="bothSides">
            <wp:wrapPolygon edited="0">
              <wp:start x="0" y="0"/>
              <wp:lineTo x="0" y="21190"/>
              <wp:lineTo x="21321" y="21190"/>
              <wp:lineTo x="213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905" cy="971429"/>
                  </a:xfrm>
                  <a:prstGeom prst="rect">
                    <a:avLst/>
                  </a:prstGeom>
                </pic:spPr>
              </pic:pic>
            </a:graphicData>
          </a:graphic>
        </wp:anchor>
      </w:drawing>
    </w:r>
  </w:p>
  <w:p w14:paraId="70560834" w14:textId="77777777" w:rsidR="009B02E7" w:rsidRDefault="009B02E7" w:rsidP="00C64ECE">
    <w:pPr>
      <w:pStyle w:val="Encabezado"/>
      <w:ind w:left="-709" w:right="-942"/>
    </w:pPr>
  </w:p>
  <w:p w14:paraId="2F85A29C" w14:textId="6F686D00" w:rsidR="009B02E7" w:rsidRDefault="009B02E7" w:rsidP="00C64ECE">
    <w:pPr>
      <w:pStyle w:val="Encabezado"/>
      <w:ind w:left="-709" w:right="-942"/>
    </w:pPr>
  </w:p>
  <w:p w14:paraId="34BC0DEB" w14:textId="4C854CC5" w:rsidR="009B02E7" w:rsidRDefault="009B02E7" w:rsidP="00C64ECE">
    <w:pPr>
      <w:pStyle w:val="Encabezado"/>
      <w:ind w:left="-709" w:right="-942"/>
    </w:pPr>
  </w:p>
  <w:p w14:paraId="15B09DF0" w14:textId="33A7BE01" w:rsidR="00B16792" w:rsidRDefault="00B16792" w:rsidP="00C64ECE">
    <w:pPr>
      <w:pStyle w:val="Encabezado"/>
      <w:ind w:left="-709" w:right="-942"/>
    </w:pPr>
  </w:p>
  <w:p w14:paraId="45310095" w14:textId="03F03444" w:rsidR="00B16792" w:rsidRDefault="00B16792" w:rsidP="00C64ECE">
    <w:pPr>
      <w:pStyle w:val="Encabezado"/>
      <w:ind w:left="-709" w:right="-942"/>
    </w:pPr>
  </w:p>
  <w:p w14:paraId="5BDF259B" w14:textId="18A453C0" w:rsidR="00C64ECE" w:rsidRDefault="00C64ECE" w:rsidP="00C64ECE">
    <w:pPr>
      <w:pStyle w:val="Encabezado"/>
      <w:ind w:left="-709" w:right="-942"/>
    </w:pPr>
    <w:r>
      <w:t xml:space="preserve">                                                                     </w:t>
    </w:r>
  </w:p>
  <w:p w14:paraId="51178D08" w14:textId="56E9A8B8" w:rsidR="000F7FD7" w:rsidRDefault="00F35982">
    <w:pPr>
      <w:ind w:right="-59"/>
      <w:rPr>
        <w:sz w:val="18"/>
        <w:szCs w:val="18"/>
      </w:rPr>
    </w:pPr>
    <w:r>
      <w:rPr>
        <w:bCs/>
        <w:sz w:val="18"/>
        <w:szCs w:val="18"/>
        <w:lang w:val="es-ES_tradnl"/>
      </w:rPr>
      <w:t>100</w:t>
    </w:r>
    <w:r w:rsidR="000F7FD7">
      <w:rPr>
        <w:bCs/>
        <w:sz w:val="18"/>
        <w:szCs w:val="18"/>
        <w:lang w:val="es-ES_tradnl"/>
      </w:rPr>
      <w:t xml:space="preserve"> - Circular Externa No. </w:t>
    </w:r>
    <w:bookmarkStart w:id="6" w:name="numassigned_2"/>
    <w:r w:rsidR="000F7FD7">
      <w:rPr>
        <w:bCs/>
        <w:sz w:val="18"/>
        <w:szCs w:val="18"/>
        <w:lang w:val="es-ES_tradnl"/>
      </w:rPr>
      <w:t xml:space="preserve">  </w:t>
    </w:r>
    <w:bookmarkEnd w:id="6"/>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iCs/>
        <w:sz w:val="18"/>
        <w:szCs w:val="18"/>
        <w:lang w:val="es-MX"/>
      </w:rPr>
      <w:tab/>
    </w:r>
    <w:r w:rsidR="000F7FD7">
      <w:rPr>
        <w:rStyle w:val="Nmerodepgina"/>
        <w:rFonts w:cs="Arial"/>
        <w:iCs/>
        <w:sz w:val="18"/>
        <w:szCs w:val="18"/>
      </w:rPr>
      <w:t xml:space="preserve">Página </w:t>
    </w:r>
    <w:r w:rsidR="000F7FD7">
      <w:rPr>
        <w:rStyle w:val="Nmerodepgina"/>
        <w:rFonts w:cs="Arial"/>
        <w:iCs/>
        <w:sz w:val="18"/>
        <w:szCs w:val="18"/>
      </w:rPr>
      <w:fldChar w:fldCharType="begin"/>
    </w:r>
    <w:r w:rsidR="000F7FD7">
      <w:rPr>
        <w:rStyle w:val="Nmerodepgina"/>
        <w:rFonts w:cs="Arial"/>
        <w:iCs/>
        <w:sz w:val="18"/>
        <w:szCs w:val="18"/>
      </w:rPr>
      <w:instrText xml:space="preserve"> PAGE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r w:rsidR="000F7FD7">
      <w:rPr>
        <w:rStyle w:val="Nmerodepgina"/>
        <w:rFonts w:cs="Arial"/>
        <w:iCs/>
        <w:sz w:val="18"/>
        <w:szCs w:val="18"/>
      </w:rPr>
      <w:t xml:space="preserve"> de </w:t>
    </w:r>
    <w:r w:rsidR="000F7FD7">
      <w:rPr>
        <w:rStyle w:val="Nmerodepgina"/>
        <w:rFonts w:cs="Arial"/>
        <w:iCs/>
        <w:sz w:val="18"/>
        <w:szCs w:val="18"/>
      </w:rPr>
      <w:fldChar w:fldCharType="begin"/>
    </w:r>
    <w:r w:rsidR="000F7FD7">
      <w:rPr>
        <w:rStyle w:val="Nmerodepgina"/>
        <w:rFonts w:cs="Arial"/>
        <w:iCs/>
        <w:sz w:val="18"/>
        <w:szCs w:val="18"/>
      </w:rPr>
      <w:instrText xml:space="preserve"> NUMPAGES </w:instrText>
    </w:r>
    <w:r w:rsidR="000F7FD7">
      <w:rPr>
        <w:rStyle w:val="Nmerodepgina"/>
        <w:rFonts w:cs="Arial"/>
        <w:iCs/>
        <w:sz w:val="18"/>
        <w:szCs w:val="18"/>
      </w:rPr>
      <w:fldChar w:fldCharType="separate"/>
    </w:r>
    <w:r w:rsidR="0066566A">
      <w:rPr>
        <w:rStyle w:val="Nmerodepgina"/>
        <w:rFonts w:cs="Arial"/>
        <w:iCs/>
        <w:noProof/>
        <w:sz w:val="18"/>
        <w:szCs w:val="18"/>
      </w:rPr>
      <w:t>2</w:t>
    </w:r>
    <w:r w:rsidR="000F7FD7">
      <w:rPr>
        <w:rStyle w:val="Nmerodepgina"/>
        <w:rFonts w:cs="Arial"/>
        <w:iCs/>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911" w14:textId="3912F545" w:rsidR="00B868AF" w:rsidRDefault="00B868AF" w:rsidP="003C3D0E">
    <w:pPr>
      <w:pStyle w:val="Encabezado"/>
      <w:ind w:left="-1701" w:right="-942"/>
    </w:pPr>
    <w:r>
      <w:t xml:space="preserve">                                                                         </w:t>
    </w:r>
  </w:p>
  <w:p w14:paraId="4385C11E" w14:textId="275826AB" w:rsidR="000F7FD7" w:rsidRDefault="000F7FD7" w:rsidP="00EC3A42">
    <w:pPr>
      <w:pStyle w:val="Ttulo1"/>
      <w:rPr>
        <w:sz w:val="22"/>
        <w:szCs w:val="22"/>
      </w:rPr>
    </w:pPr>
  </w:p>
  <w:p w14:paraId="7BD03659" w14:textId="7DC1F86D" w:rsidR="006E5D83" w:rsidRDefault="006E5D83" w:rsidP="006E5D83"/>
  <w:p w14:paraId="156476CB" w14:textId="6A5A9527" w:rsidR="006E5D83" w:rsidRDefault="006E5D83" w:rsidP="006E5D83">
    <w:r>
      <w:rPr>
        <w:noProof/>
        <w:lang w:eastAsia="es-CO"/>
      </w:rPr>
      <w:drawing>
        <wp:anchor distT="0" distB="0" distL="114300" distR="114300" simplePos="0" relativeHeight="251697152" behindDoc="0" locked="0" layoutInCell="1" allowOverlap="1" wp14:anchorId="34C7000C" wp14:editId="605ED0ED">
          <wp:simplePos x="0" y="0"/>
          <wp:positionH relativeFrom="column">
            <wp:posOffset>1815465</wp:posOffset>
          </wp:positionH>
          <wp:positionV relativeFrom="paragraph">
            <wp:posOffset>155575</wp:posOffset>
          </wp:positionV>
          <wp:extent cx="2161540" cy="970915"/>
          <wp:effectExtent l="0" t="0" r="0" b="635"/>
          <wp:wrapThrough wrapText="bothSides">
            <wp:wrapPolygon edited="0">
              <wp:start x="0" y="0"/>
              <wp:lineTo x="0" y="21190"/>
              <wp:lineTo x="21321" y="21190"/>
              <wp:lineTo x="21321"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61540" cy="970915"/>
                  </a:xfrm>
                  <a:prstGeom prst="rect">
                    <a:avLst/>
                  </a:prstGeom>
                </pic:spPr>
              </pic:pic>
            </a:graphicData>
          </a:graphic>
        </wp:anchor>
      </w:drawing>
    </w:r>
  </w:p>
  <w:p w14:paraId="64B69E94" w14:textId="78E7A966" w:rsidR="006E5D83" w:rsidRDefault="006E5D83" w:rsidP="006E5D83"/>
  <w:p w14:paraId="7650B28A" w14:textId="4CADD5F0" w:rsidR="006E5D83" w:rsidRDefault="006E5D83" w:rsidP="006E5D83"/>
  <w:p w14:paraId="3D79A6C8" w14:textId="31BA7751" w:rsidR="006E5D83" w:rsidRDefault="006E5D83" w:rsidP="006E5D83"/>
  <w:p w14:paraId="42FF98E7" w14:textId="089D77A1" w:rsidR="006E5D83" w:rsidRDefault="006E5D83" w:rsidP="006E5D83"/>
  <w:p w14:paraId="1C0300CE" w14:textId="3A42A3D8" w:rsidR="006E5D83" w:rsidRDefault="006E5D83" w:rsidP="006E5D83"/>
  <w:p w14:paraId="29947A79" w14:textId="402B481A" w:rsidR="006E5D83" w:rsidRDefault="006E5D83" w:rsidP="006E5D83"/>
  <w:p w14:paraId="5779E69C" w14:textId="7A90CE5A" w:rsidR="006E5D83" w:rsidRPr="005806F8" w:rsidRDefault="006E5D83" w:rsidP="006E5D83">
    <w:pPr>
      <w:rPr>
        <w:rFonts w:ascii="Verdana" w:hAnsi="Verdana"/>
      </w:rPr>
    </w:pPr>
  </w:p>
  <w:p w14:paraId="2049512D" w14:textId="77777777" w:rsidR="006E5D83" w:rsidRPr="005806F8" w:rsidRDefault="006E5D83" w:rsidP="006E5D83">
    <w:pPr>
      <w:rPr>
        <w:rFonts w:ascii="Verdana" w:hAnsi="Verdana"/>
      </w:rPr>
    </w:pPr>
  </w:p>
  <w:p w14:paraId="7D4E841F" w14:textId="77777777" w:rsidR="00EC3A42" w:rsidRPr="005806F8" w:rsidRDefault="00EC3A42" w:rsidP="00EC3A42">
    <w:pPr>
      <w:pStyle w:val="Ttulo1"/>
      <w:jc w:val="center"/>
      <w:rPr>
        <w:rFonts w:ascii="Verdana" w:hAnsi="Verdana"/>
        <w:sz w:val="28"/>
        <w:szCs w:val="28"/>
      </w:rPr>
    </w:pPr>
    <w:r w:rsidRPr="005806F8">
      <w:rPr>
        <w:rFonts w:ascii="Verdana" w:hAnsi="Verdana"/>
        <w:sz w:val="28"/>
        <w:szCs w:val="28"/>
      </w:rPr>
      <w:t>CIRCULAR EXTERNA No.</w:t>
    </w:r>
    <w:r w:rsidR="00AD1E04" w:rsidRPr="005806F8">
      <w:rPr>
        <w:rFonts w:ascii="Verdana" w:hAnsi="Verdana"/>
        <w:noProof/>
        <w:lang w:val="es-ES" w:eastAsia="es-ES"/>
      </w:rPr>
      <w:t xml:space="preserve"> </w:t>
    </w:r>
    <w:r w:rsidRPr="005806F8">
      <w:rPr>
        <w:rFonts w:ascii="Verdana" w:hAnsi="Verdana"/>
        <w:sz w:val="28"/>
        <w:szCs w:val="28"/>
      </w:rPr>
      <w:t xml:space="preserve"> </w:t>
    </w:r>
    <w:bookmarkStart w:id="7" w:name="numassigned"/>
    <w:r w:rsidRPr="005806F8">
      <w:rPr>
        <w:rFonts w:ascii="Verdana" w:hAnsi="Verdana"/>
        <w:sz w:val="28"/>
        <w:szCs w:val="28"/>
      </w:rPr>
      <w:t xml:space="preserve">  </w:t>
    </w:r>
    <w:bookmarkEnd w:id="7"/>
  </w:p>
  <w:p w14:paraId="482F8C80" w14:textId="77777777" w:rsidR="00EC3A42" w:rsidRPr="005806F8" w:rsidRDefault="00EC3A42" w:rsidP="00EC3A42">
    <w:pPr>
      <w:rPr>
        <w:rFonts w:ascii="Verdana" w:hAnsi="Verdana"/>
        <w:b/>
        <w:bCs/>
        <w:i w:val="0"/>
      </w:rPr>
    </w:pPr>
  </w:p>
  <w:p w14:paraId="632DF26C" w14:textId="77777777" w:rsidR="00EC3A42" w:rsidRPr="005806F8" w:rsidRDefault="00EC3A42" w:rsidP="00EC3A42">
    <w:pPr>
      <w:rPr>
        <w:rFonts w:ascii="Verdana" w:hAnsi="Verdana"/>
        <w:b/>
        <w:bCs/>
        <w:i w:val="0"/>
      </w:rPr>
    </w:pPr>
  </w:p>
  <w:tbl>
    <w:tblPr>
      <w:tblW w:w="0" w:type="auto"/>
      <w:tblLook w:val="00A0" w:firstRow="1" w:lastRow="0" w:firstColumn="1" w:lastColumn="0" w:noHBand="0" w:noVBand="0"/>
    </w:tblPr>
    <w:tblGrid>
      <w:gridCol w:w="1521"/>
      <w:gridCol w:w="7602"/>
    </w:tblGrid>
    <w:tr w:rsidR="00EC3A42" w:rsidRPr="005806F8" w14:paraId="54368F7E" w14:textId="77777777" w:rsidTr="00DD2F81">
      <w:tc>
        <w:tcPr>
          <w:tcW w:w="1526" w:type="dxa"/>
        </w:tcPr>
        <w:p w14:paraId="74BA16F6" w14:textId="77777777" w:rsidR="00EC3A42" w:rsidRPr="005806F8" w:rsidRDefault="00EC3A42" w:rsidP="00EC3A42">
          <w:pPr>
            <w:rPr>
              <w:rFonts w:ascii="Verdana" w:hAnsi="Verdana"/>
              <w:b/>
              <w:bCs/>
              <w:i w:val="0"/>
            </w:rPr>
          </w:pPr>
          <w:r w:rsidRPr="005806F8">
            <w:rPr>
              <w:rFonts w:ascii="Verdana" w:hAnsi="Verdana"/>
              <w:b/>
              <w:bCs/>
              <w:i w:val="0"/>
              <w:sz w:val="22"/>
              <w:szCs w:val="22"/>
            </w:rPr>
            <w:t>PARA:</w:t>
          </w:r>
        </w:p>
      </w:tc>
      <w:tc>
        <w:tcPr>
          <w:tcW w:w="7737" w:type="dxa"/>
        </w:tcPr>
        <w:p w14:paraId="220FD3A1" w14:textId="633CB7BD" w:rsidR="00EC3A42" w:rsidRPr="005806F8" w:rsidRDefault="00F35982" w:rsidP="009D0509">
          <w:pPr>
            <w:jc w:val="both"/>
            <w:rPr>
              <w:rFonts w:ascii="Verdana" w:hAnsi="Verdana"/>
              <w:b/>
              <w:bCs/>
              <w:i w:val="0"/>
            </w:rPr>
          </w:pPr>
          <w:r>
            <w:rPr>
              <w:rFonts w:ascii="Verdana" w:hAnsi="Verdana"/>
              <w:b/>
              <w:bCs/>
              <w:i w:val="0"/>
              <w:sz w:val="22"/>
              <w:szCs w:val="22"/>
            </w:rPr>
            <w:t>REPRESENTANTES LEGALES Y MIEMBROS DE LOS ÓRGANOS DE ADMINISTRACIÓN Y CONTROL DE LAS EMPRESAS SOLIDARIAS SUPERVISADAS</w:t>
          </w:r>
        </w:p>
      </w:tc>
    </w:tr>
    <w:tr w:rsidR="00EC3A42" w:rsidRPr="005806F8" w14:paraId="009171FD" w14:textId="77777777" w:rsidTr="00DD2F81">
      <w:tc>
        <w:tcPr>
          <w:tcW w:w="1526" w:type="dxa"/>
        </w:tcPr>
        <w:p w14:paraId="4C2BC3F7" w14:textId="77777777" w:rsidR="00EC3A42" w:rsidRPr="005806F8" w:rsidRDefault="00EC3A42" w:rsidP="00EC3A42">
          <w:pPr>
            <w:rPr>
              <w:rFonts w:ascii="Verdana" w:hAnsi="Verdana"/>
              <w:b/>
              <w:bCs/>
              <w:i w:val="0"/>
            </w:rPr>
          </w:pPr>
          <w:r w:rsidRPr="005806F8">
            <w:rPr>
              <w:rFonts w:ascii="Verdana" w:hAnsi="Verdana"/>
              <w:b/>
              <w:bCs/>
              <w:i w:val="0"/>
              <w:sz w:val="22"/>
              <w:szCs w:val="22"/>
            </w:rPr>
            <w:t>DE:</w:t>
          </w:r>
        </w:p>
      </w:tc>
      <w:tc>
        <w:tcPr>
          <w:tcW w:w="7737" w:type="dxa"/>
        </w:tcPr>
        <w:p w14:paraId="4609C9D9" w14:textId="61097DC0" w:rsidR="00EC3A42" w:rsidRPr="005806F8" w:rsidRDefault="00F35982" w:rsidP="00EC3A42">
          <w:pPr>
            <w:rPr>
              <w:rFonts w:ascii="Verdana" w:hAnsi="Verdana"/>
              <w:b/>
              <w:bCs/>
              <w:i w:val="0"/>
            </w:rPr>
          </w:pPr>
          <w:r>
            <w:rPr>
              <w:rFonts w:ascii="Verdana" w:hAnsi="Verdana"/>
              <w:b/>
              <w:bCs/>
              <w:i w:val="0"/>
              <w:sz w:val="22"/>
              <w:szCs w:val="22"/>
            </w:rPr>
            <w:t>SUPERINTENDENTA DE LA ECONOMÍA SOLIDARIA</w:t>
          </w:r>
        </w:p>
      </w:tc>
    </w:tr>
    <w:tr w:rsidR="00EC3A42" w:rsidRPr="005806F8" w14:paraId="1B967028" w14:textId="77777777" w:rsidTr="00DD2F81">
      <w:tc>
        <w:tcPr>
          <w:tcW w:w="1526" w:type="dxa"/>
        </w:tcPr>
        <w:p w14:paraId="66CE9674" w14:textId="77777777" w:rsidR="00EC3A42" w:rsidRPr="005806F8" w:rsidRDefault="00EC3A42" w:rsidP="00EC3A42">
          <w:pPr>
            <w:rPr>
              <w:rFonts w:ascii="Verdana" w:hAnsi="Verdana"/>
              <w:b/>
              <w:bCs/>
              <w:i w:val="0"/>
            </w:rPr>
          </w:pPr>
          <w:r w:rsidRPr="005806F8">
            <w:rPr>
              <w:rFonts w:ascii="Verdana" w:hAnsi="Verdana"/>
              <w:b/>
              <w:bCs/>
              <w:i w:val="0"/>
              <w:sz w:val="22"/>
              <w:szCs w:val="22"/>
            </w:rPr>
            <w:t>ASUNTO:</w:t>
          </w:r>
        </w:p>
      </w:tc>
      <w:tc>
        <w:tcPr>
          <w:tcW w:w="7737" w:type="dxa"/>
        </w:tcPr>
        <w:p w14:paraId="1E6ECC0A" w14:textId="57464074" w:rsidR="00EC3A42" w:rsidRPr="005806F8" w:rsidRDefault="00F35982" w:rsidP="009D0509">
          <w:pPr>
            <w:jc w:val="both"/>
            <w:rPr>
              <w:rFonts w:ascii="Verdana" w:hAnsi="Verdana"/>
              <w:b/>
              <w:bCs/>
              <w:i w:val="0"/>
            </w:rPr>
          </w:pPr>
          <w:r>
            <w:rPr>
              <w:rFonts w:ascii="Verdana" w:hAnsi="Verdana"/>
              <w:b/>
              <w:bCs/>
              <w:i w:val="0"/>
              <w:sz w:val="22"/>
              <w:szCs w:val="22"/>
            </w:rPr>
            <w:t>MODIFICAR LA CIRCULAR EXTERNA No. 88 DE PRESENTACIÓN DE LA GUÍA PARA LA IMPLEMENTACIÓN DE MEJORES PRÁCTICAS DE BUEN GOBIERNO PARA EMPRESAS SOLIDARIAS SUPERVISADAS POR LA SUPERINTENDENCIA DE ECONOMÍA SOLIDARIA E INSTRUCCIONES PARA SU IMPLEMENTACIÓN</w:t>
          </w:r>
        </w:p>
      </w:tc>
    </w:tr>
    <w:tr w:rsidR="00EC3A42" w:rsidRPr="005806F8" w14:paraId="0074D0B9" w14:textId="77777777" w:rsidTr="00DD2F81">
      <w:tc>
        <w:tcPr>
          <w:tcW w:w="1526" w:type="dxa"/>
        </w:tcPr>
        <w:p w14:paraId="75595DCF" w14:textId="77777777" w:rsidR="00EC3A42" w:rsidRPr="005806F8" w:rsidRDefault="00EC3A42" w:rsidP="00EC3A42">
          <w:pPr>
            <w:rPr>
              <w:rFonts w:ascii="Verdana" w:hAnsi="Verdana"/>
              <w:b/>
              <w:bCs/>
              <w:i w:val="0"/>
            </w:rPr>
          </w:pPr>
          <w:r w:rsidRPr="005806F8">
            <w:rPr>
              <w:rFonts w:ascii="Verdana" w:hAnsi="Verdana"/>
              <w:b/>
              <w:bCs/>
              <w:i w:val="0"/>
              <w:sz w:val="22"/>
              <w:szCs w:val="22"/>
            </w:rPr>
            <w:t>FECHA:</w:t>
          </w:r>
        </w:p>
      </w:tc>
      <w:tc>
        <w:tcPr>
          <w:tcW w:w="7737" w:type="dxa"/>
        </w:tcPr>
        <w:p w14:paraId="0070BFA5" w14:textId="77777777" w:rsidR="00EC3A42" w:rsidRPr="005806F8" w:rsidRDefault="00EC3A42" w:rsidP="00EC3A42">
          <w:pPr>
            <w:rPr>
              <w:rFonts w:ascii="Verdana" w:hAnsi="Verdana"/>
              <w:b/>
              <w:bCs/>
              <w:i w:val="0"/>
            </w:rPr>
          </w:pPr>
          <w:r w:rsidRPr="005806F8">
            <w:rPr>
              <w:rFonts w:ascii="Verdana" w:hAnsi="Verdana"/>
              <w:b/>
              <w:bCs/>
              <w:i w:val="0"/>
              <w:sz w:val="22"/>
              <w:szCs w:val="22"/>
            </w:rPr>
            <w:t xml:space="preserve">Bogotá D.C., </w:t>
          </w:r>
          <w:bookmarkStart w:id="8" w:name="fecassignedlong"/>
          <w:r w:rsidRPr="005806F8">
            <w:rPr>
              <w:rFonts w:ascii="Verdana" w:hAnsi="Verdana"/>
              <w:b/>
              <w:bCs/>
              <w:i w:val="0"/>
              <w:sz w:val="22"/>
              <w:szCs w:val="22"/>
            </w:rPr>
            <w:t xml:space="preserve">  </w:t>
          </w:r>
          <w:bookmarkEnd w:id="8"/>
        </w:p>
      </w:tc>
    </w:tr>
  </w:tbl>
  <w:p w14:paraId="1C77EA07" w14:textId="77777777" w:rsidR="00EC3A42" w:rsidRPr="005806F8" w:rsidRDefault="00EC3A42" w:rsidP="00EC3A42">
    <w:pPr>
      <w:rPr>
        <w:rFonts w:ascii="Verdana" w:hAnsi="Verdana"/>
        <w:b/>
        <w:bCs/>
        <w:i w:val="0"/>
      </w:rPr>
    </w:pPr>
  </w:p>
  <w:p w14:paraId="3F59E2F3" w14:textId="77777777" w:rsidR="00EC3A42" w:rsidRPr="005806F8" w:rsidRDefault="00073528" w:rsidP="00EC3A42">
    <w:pPr>
      <w:rPr>
        <w:rFonts w:ascii="Verdana" w:hAnsi="Verdana"/>
        <w:b/>
        <w:bCs/>
        <w:i w:val="0"/>
        <w:sz w:val="22"/>
        <w:szCs w:val="22"/>
      </w:rPr>
    </w:pPr>
    <w:r w:rsidRPr="005806F8">
      <w:rPr>
        <w:rFonts w:ascii="Verdana" w:hAnsi="Verdana"/>
        <w:noProof/>
        <w:lang w:eastAsia="es-CO"/>
      </w:rPr>
      <mc:AlternateContent>
        <mc:Choice Requires="wps">
          <w:drawing>
            <wp:anchor distT="0" distB="0" distL="114300" distR="114300" simplePos="0" relativeHeight="251667456" behindDoc="0" locked="0" layoutInCell="1" allowOverlap="1" wp14:anchorId="27DECFC9" wp14:editId="29D62CC2">
              <wp:simplePos x="0" y="0"/>
              <wp:positionH relativeFrom="column">
                <wp:posOffset>9525</wp:posOffset>
              </wp:positionH>
              <wp:positionV relativeFrom="paragraph">
                <wp:posOffset>71120</wp:posOffset>
              </wp:positionV>
              <wp:extent cx="5638800" cy="0"/>
              <wp:effectExtent l="28575" t="33020" r="28575" b="33655"/>
              <wp:wrapTopAndBottom/>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915A"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6pt" to="444.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" strokeweight="4.5pt">
              <v:stroke linestyle="thinThick"/>
              <w10:wrap type="topAndBottom"/>
            </v:line>
          </w:pict>
        </mc:Fallback>
      </mc:AlternateContent>
    </w:r>
  </w:p>
  <w:p w14:paraId="76644BA5" w14:textId="49E87D20" w:rsidR="00EC3A42" w:rsidRPr="005806F8" w:rsidRDefault="00EC3A42" w:rsidP="00EC3A42">
    <w:pPr>
      <w:ind w:right="-59"/>
      <w:rPr>
        <w:rFonts w:ascii="Verdana" w:hAnsi="Verdana"/>
        <w:bCs/>
        <w:sz w:val="18"/>
        <w:szCs w:val="18"/>
        <w:lang w:val="es-ES_tradnl"/>
      </w:rPr>
    </w:pPr>
  </w:p>
  <w:p w14:paraId="00B6E67E" w14:textId="2878C0EA" w:rsidR="00EC3A42" w:rsidRPr="005806F8" w:rsidRDefault="00F35982" w:rsidP="00EC3A42">
    <w:pPr>
      <w:ind w:right="-59"/>
      <w:rPr>
        <w:rFonts w:ascii="Verdana" w:hAnsi="Verdana"/>
        <w:sz w:val="18"/>
        <w:szCs w:val="18"/>
      </w:rPr>
    </w:pPr>
    <w:r>
      <w:rPr>
        <w:rFonts w:ascii="Verdana" w:hAnsi="Verdana"/>
        <w:bCs/>
        <w:sz w:val="18"/>
        <w:szCs w:val="18"/>
        <w:lang w:val="es-ES_tradnl"/>
      </w:rPr>
      <w:t>100</w:t>
    </w:r>
    <w:r w:rsidR="00EC3A42" w:rsidRPr="005806F8">
      <w:rPr>
        <w:rFonts w:ascii="Verdana" w:hAnsi="Verdana"/>
        <w:bCs/>
        <w:sz w:val="18"/>
        <w:szCs w:val="18"/>
        <w:lang w:val="es-ES_tradnl"/>
      </w:rPr>
      <w:t xml:space="preserve"> - Circular Externa No. </w:t>
    </w:r>
    <w:bookmarkStart w:id="9" w:name="numassigned_1"/>
    <w:r w:rsidR="00EC3A42" w:rsidRPr="005806F8">
      <w:rPr>
        <w:rFonts w:ascii="Verdana" w:hAnsi="Verdana"/>
        <w:bCs/>
        <w:sz w:val="18"/>
        <w:szCs w:val="18"/>
        <w:lang w:val="es-ES_tradnl"/>
      </w:rPr>
      <w:t xml:space="preserve">  </w:t>
    </w:r>
    <w:bookmarkEnd w:id="9"/>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Fonts w:ascii="Verdana" w:hAnsi="Verdana"/>
        <w:iCs/>
        <w:sz w:val="18"/>
        <w:szCs w:val="18"/>
        <w:lang w:val="es-MX"/>
      </w:rPr>
      <w:tab/>
    </w:r>
    <w:r w:rsidR="00EC3A42" w:rsidRPr="005806F8">
      <w:rPr>
        <w:rStyle w:val="Nmerodepgina"/>
        <w:rFonts w:ascii="Verdana" w:hAnsi="Verdana" w:cs="Arial"/>
        <w:iCs/>
        <w:sz w:val="18"/>
        <w:szCs w:val="18"/>
      </w:rPr>
      <w:t xml:space="preserve">Página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PAGE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r w:rsidR="00EC3A42" w:rsidRPr="005806F8">
      <w:rPr>
        <w:rStyle w:val="Nmerodepgina"/>
        <w:rFonts w:ascii="Verdana" w:hAnsi="Verdana" w:cs="Arial"/>
        <w:iCs/>
        <w:sz w:val="18"/>
        <w:szCs w:val="18"/>
      </w:rPr>
      <w:t xml:space="preserve"> de </w:t>
    </w:r>
    <w:r w:rsidR="00EC3A42" w:rsidRPr="005806F8">
      <w:rPr>
        <w:rStyle w:val="Nmerodepgina"/>
        <w:rFonts w:ascii="Verdana" w:hAnsi="Verdana" w:cs="Arial"/>
        <w:iCs/>
        <w:sz w:val="18"/>
        <w:szCs w:val="18"/>
      </w:rPr>
      <w:fldChar w:fldCharType="begin"/>
    </w:r>
    <w:r w:rsidR="00EC3A42" w:rsidRPr="005806F8">
      <w:rPr>
        <w:rStyle w:val="Nmerodepgina"/>
        <w:rFonts w:ascii="Verdana" w:hAnsi="Verdana" w:cs="Arial"/>
        <w:iCs/>
        <w:sz w:val="18"/>
        <w:szCs w:val="18"/>
      </w:rPr>
      <w:instrText xml:space="preserve"> NUMPAGES </w:instrText>
    </w:r>
    <w:r w:rsidR="00EC3A42" w:rsidRPr="005806F8">
      <w:rPr>
        <w:rStyle w:val="Nmerodepgina"/>
        <w:rFonts w:ascii="Verdana" w:hAnsi="Verdana" w:cs="Arial"/>
        <w:iCs/>
        <w:sz w:val="18"/>
        <w:szCs w:val="18"/>
      </w:rPr>
      <w:fldChar w:fldCharType="separate"/>
    </w:r>
    <w:r w:rsidR="0066566A" w:rsidRPr="005806F8">
      <w:rPr>
        <w:rStyle w:val="Nmerodepgina"/>
        <w:rFonts w:ascii="Verdana" w:hAnsi="Verdana" w:cs="Arial"/>
        <w:iCs/>
        <w:noProof/>
        <w:sz w:val="18"/>
        <w:szCs w:val="18"/>
      </w:rPr>
      <w:t>1</w:t>
    </w:r>
    <w:r w:rsidR="00EC3A42" w:rsidRPr="005806F8">
      <w:rPr>
        <w:rStyle w:val="Nmerodepgina"/>
        <w:rFonts w:ascii="Verdana" w:hAnsi="Verdana" w:cs="Arial"/>
        <w:iCs/>
        <w:sz w:val="18"/>
        <w:szCs w:val="18"/>
      </w:rPr>
      <w:fldChar w:fldCharType="end"/>
    </w:r>
  </w:p>
  <w:p w14:paraId="03B51278" w14:textId="72B3BAFE" w:rsidR="000F7FD7" w:rsidRDefault="000F7FD7" w:rsidP="007B0A34">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9D83AED"/>
    <w:multiLevelType w:val="hybridMultilevel"/>
    <w:tmpl w:val="7DC8EBE0"/>
    <w:lvl w:ilvl="0" w:tplc="DA6C1568">
      <w:numFmt w:val="bullet"/>
      <w:lvlText w:val="-"/>
      <w:lvlJc w:val="left"/>
      <w:pPr>
        <w:tabs>
          <w:tab w:val="num" w:pos="600"/>
        </w:tabs>
        <w:ind w:left="600" w:hanging="360"/>
      </w:pPr>
      <w:rPr>
        <w:rFonts w:ascii="Arial" w:eastAsia="Times New Roman" w:hAnsi="Arial" w:hint="default"/>
      </w:rPr>
    </w:lvl>
    <w:lvl w:ilvl="1" w:tplc="0C0A0003" w:tentative="1">
      <w:start w:val="1"/>
      <w:numFmt w:val="bullet"/>
      <w:lvlText w:val="o"/>
      <w:lvlJc w:val="left"/>
      <w:pPr>
        <w:tabs>
          <w:tab w:val="num" w:pos="1320"/>
        </w:tabs>
        <w:ind w:left="1320" w:hanging="360"/>
      </w:pPr>
      <w:rPr>
        <w:rFonts w:ascii="Courier New" w:hAnsi="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41A"/>
    <w:rsid w:val="00006165"/>
    <w:rsid w:val="0001093F"/>
    <w:rsid w:val="000315A7"/>
    <w:rsid w:val="00070BC6"/>
    <w:rsid w:val="00073528"/>
    <w:rsid w:val="00090BFD"/>
    <w:rsid w:val="0009535C"/>
    <w:rsid w:val="000954A0"/>
    <w:rsid w:val="000966A4"/>
    <w:rsid w:val="000977CF"/>
    <w:rsid w:val="000B1429"/>
    <w:rsid w:val="000C0C1F"/>
    <w:rsid w:val="000D02DD"/>
    <w:rsid w:val="000E2344"/>
    <w:rsid w:val="000E4ECE"/>
    <w:rsid w:val="000F7FD7"/>
    <w:rsid w:val="0016084B"/>
    <w:rsid w:val="001677C9"/>
    <w:rsid w:val="001B2992"/>
    <w:rsid w:val="001B6D00"/>
    <w:rsid w:val="001C65B7"/>
    <w:rsid w:val="001D2B49"/>
    <w:rsid w:val="00203587"/>
    <w:rsid w:val="00254439"/>
    <w:rsid w:val="0026227A"/>
    <w:rsid w:val="0026518F"/>
    <w:rsid w:val="0028184C"/>
    <w:rsid w:val="00285323"/>
    <w:rsid w:val="00291540"/>
    <w:rsid w:val="002A21E8"/>
    <w:rsid w:val="003035F4"/>
    <w:rsid w:val="00325A55"/>
    <w:rsid w:val="003563C1"/>
    <w:rsid w:val="00356E72"/>
    <w:rsid w:val="00390900"/>
    <w:rsid w:val="003A3492"/>
    <w:rsid w:val="003C3D0E"/>
    <w:rsid w:val="003D61CC"/>
    <w:rsid w:val="003E3473"/>
    <w:rsid w:val="003E6DAB"/>
    <w:rsid w:val="0041110A"/>
    <w:rsid w:val="00420671"/>
    <w:rsid w:val="00425E2C"/>
    <w:rsid w:val="00461C9B"/>
    <w:rsid w:val="004A0367"/>
    <w:rsid w:val="004D23D7"/>
    <w:rsid w:val="004D7D98"/>
    <w:rsid w:val="004F507D"/>
    <w:rsid w:val="00507BF0"/>
    <w:rsid w:val="00522339"/>
    <w:rsid w:val="00546DC4"/>
    <w:rsid w:val="005806F8"/>
    <w:rsid w:val="005E5D43"/>
    <w:rsid w:val="006164C0"/>
    <w:rsid w:val="0065307B"/>
    <w:rsid w:val="006646E0"/>
    <w:rsid w:val="0066566A"/>
    <w:rsid w:val="00680C7A"/>
    <w:rsid w:val="00696F6D"/>
    <w:rsid w:val="006A1B4A"/>
    <w:rsid w:val="006A4EE0"/>
    <w:rsid w:val="006B2104"/>
    <w:rsid w:val="006E5D83"/>
    <w:rsid w:val="007060DD"/>
    <w:rsid w:val="007428BE"/>
    <w:rsid w:val="007611E6"/>
    <w:rsid w:val="00773ACA"/>
    <w:rsid w:val="007922E4"/>
    <w:rsid w:val="007B0A34"/>
    <w:rsid w:val="007C178A"/>
    <w:rsid w:val="007F6590"/>
    <w:rsid w:val="0082573D"/>
    <w:rsid w:val="008563F9"/>
    <w:rsid w:val="00857C4C"/>
    <w:rsid w:val="008731A8"/>
    <w:rsid w:val="00883F53"/>
    <w:rsid w:val="00921409"/>
    <w:rsid w:val="0098441A"/>
    <w:rsid w:val="009B02E7"/>
    <w:rsid w:val="009C7158"/>
    <w:rsid w:val="009D0509"/>
    <w:rsid w:val="009F476E"/>
    <w:rsid w:val="00A04A27"/>
    <w:rsid w:val="00A07251"/>
    <w:rsid w:val="00A2658D"/>
    <w:rsid w:val="00A671E6"/>
    <w:rsid w:val="00AD1E04"/>
    <w:rsid w:val="00AD5A52"/>
    <w:rsid w:val="00B16792"/>
    <w:rsid w:val="00B62C65"/>
    <w:rsid w:val="00B730EC"/>
    <w:rsid w:val="00B868AF"/>
    <w:rsid w:val="00BB6319"/>
    <w:rsid w:val="00BD17A4"/>
    <w:rsid w:val="00BF3EC9"/>
    <w:rsid w:val="00BF4A5A"/>
    <w:rsid w:val="00C64ECE"/>
    <w:rsid w:val="00CA55A0"/>
    <w:rsid w:val="00CF5F53"/>
    <w:rsid w:val="00D52E5D"/>
    <w:rsid w:val="00DC43DE"/>
    <w:rsid w:val="00DD334C"/>
    <w:rsid w:val="00E20347"/>
    <w:rsid w:val="00E7790F"/>
    <w:rsid w:val="00EB7284"/>
    <w:rsid w:val="00EC3A42"/>
    <w:rsid w:val="00F14086"/>
    <w:rsid w:val="00F3485A"/>
    <w:rsid w:val="00F35982"/>
    <w:rsid w:val="00F46734"/>
    <w:rsid w:val="00FA17E0"/>
    <w:rsid w:val="00FA2E8D"/>
    <w:rsid w:val="00FC3503"/>
    <w:rsid w:val="00FD757D"/>
    <w:rsid w:val="00FE2679"/>
    <w:rsid w:val="00FE6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C6C59C"/>
  <w15:docId w15:val="{FAF16DC5-F27F-4541-B876-5B5F218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2"/>
    <w:pPr>
      <w:suppressAutoHyphens/>
    </w:pPr>
    <w:rPr>
      <w:rFonts w:ascii="Arial" w:hAnsi="Arial" w:cs="Arial"/>
      <w:i/>
      <w:sz w:val="24"/>
      <w:szCs w:val="24"/>
      <w:lang w:val="es-CO" w:eastAsia="ar-SA"/>
    </w:rPr>
  </w:style>
  <w:style w:type="paragraph" w:styleId="Ttulo1">
    <w:name w:val="heading 1"/>
    <w:basedOn w:val="Normal"/>
    <w:next w:val="Normal"/>
    <w:link w:val="Ttulo1Car"/>
    <w:uiPriority w:val="99"/>
    <w:qFormat/>
    <w:rsid w:val="00696F6D"/>
    <w:pPr>
      <w:keepNext/>
      <w:tabs>
        <w:tab w:val="num" w:pos="0"/>
      </w:tabs>
      <w:outlineLvl w:val="0"/>
    </w:pPr>
    <w:rPr>
      <w:b/>
      <w:bCs/>
      <w:i w:val="0"/>
      <w:iCs/>
    </w:rPr>
  </w:style>
  <w:style w:type="paragraph" w:styleId="Ttulo2">
    <w:name w:val="heading 2"/>
    <w:basedOn w:val="Normal"/>
    <w:next w:val="Normal"/>
    <w:link w:val="Ttulo2Car"/>
    <w:uiPriority w:val="99"/>
    <w:qFormat/>
    <w:rsid w:val="00696F6D"/>
    <w:pPr>
      <w:keepNext/>
      <w:tabs>
        <w:tab w:val="num" w:pos="0"/>
      </w:tabs>
      <w:jc w:val="both"/>
      <w:outlineLvl w:val="1"/>
    </w:pPr>
    <w:rPr>
      <w:b/>
      <w:bCs/>
      <w:i w:val="0"/>
      <w:iCs/>
    </w:rPr>
  </w:style>
  <w:style w:type="paragraph" w:styleId="Ttulo3">
    <w:name w:val="heading 3"/>
    <w:basedOn w:val="Normal"/>
    <w:next w:val="Normal"/>
    <w:link w:val="Ttulo3Car"/>
    <w:uiPriority w:val="99"/>
    <w:qFormat/>
    <w:rsid w:val="00696F6D"/>
    <w:pPr>
      <w:keepNext/>
      <w:tabs>
        <w:tab w:val="num" w:pos="0"/>
      </w:tabs>
      <w:outlineLvl w:val="2"/>
    </w:pPr>
    <w:rPr>
      <w:b/>
      <w:bCs/>
      <w:i w:val="0"/>
      <w:iCs/>
      <w:sz w:val="22"/>
    </w:rPr>
  </w:style>
  <w:style w:type="paragraph" w:styleId="Ttulo4">
    <w:name w:val="heading 4"/>
    <w:basedOn w:val="Normal"/>
    <w:next w:val="Normal"/>
    <w:link w:val="Ttulo4Car"/>
    <w:uiPriority w:val="99"/>
    <w:qFormat/>
    <w:rsid w:val="00696F6D"/>
    <w:pPr>
      <w:keepNext/>
      <w:tabs>
        <w:tab w:val="num" w:pos="0"/>
      </w:tabs>
      <w:jc w:val="both"/>
      <w:outlineLvl w:val="3"/>
    </w:pPr>
    <w:rPr>
      <w:rFonts w:ascii="Tahoma" w:hAnsi="Tahoma" w:cs="Tahoma"/>
      <w:b/>
      <w:bCs/>
      <w:i w:val="0"/>
    </w:rPr>
  </w:style>
  <w:style w:type="paragraph" w:styleId="Ttulo5">
    <w:name w:val="heading 5"/>
    <w:basedOn w:val="Normal"/>
    <w:next w:val="Normal"/>
    <w:link w:val="Ttulo5Car"/>
    <w:uiPriority w:val="99"/>
    <w:qFormat/>
    <w:rsid w:val="00696F6D"/>
    <w:pPr>
      <w:keepNext/>
      <w:tabs>
        <w:tab w:val="num" w:pos="0"/>
      </w:tabs>
      <w:jc w:val="both"/>
      <w:outlineLvl w:val="4"/>
    </w:pPr>
  </w:style>
  <w:style w:type="paragraph" w:styleId="Ttulo6">
    <w:name w:val="heading 6"/>
    <w:basedOn w:val="Normal"/>
    <w:next w:val="Normal"/>
    <w:link w:val="Ttulo6Car"/>
    <w:uiPriority w:val="99"/>
    <w:qFormat/>
    <w:rsid w:val="00696F6D"/>
    <w:pPr>
      <w:keepNext/>
      <w:tabs>
        <w:tab w:val="num" w:pos="0"/>
      </w:tabs>
      <w:jc w:val="center"/>
      <w:outlineLvl w:val="5"/>
    </w:pPr>
    <w:rPr>
      <w:b/>
      <w:bCs/>
      <w:i w:val="0"/>
    </w:rPr>
  </w:style>
  <w:style w:type="paragraph" w:styleId="Ttulo7">
    <w:name w:val="heading 7"/>
    <w:basedOn w:val="Normal"/>
    <w:next w:val="Normal"/>
    <w:link w:val="Ttulo7Car"/>
    <w:uiPriority w:val="99"/>
    <w:qFormat/>
    <w:rsid w:val="00696F6D"/>
    <w:pPr>
      <w:keepNext/>
      <w:tabs>
        <w:tab w:val="num" w:pos="0"/>
      </w:tabs>
      <w:outlineLvl w:val="6"/>
    </w:pPr>
    <w:rPr>
      <w:b/>
      <w:bCs/>
      <w:i w:val="0"/>
      <w:iCs/>
      <w:sz w:val="16"/>
    </w:rPr>
  </w:style>
  <w:style w:type="paragraph" w:styleId="Ttulo8">
    <w:name w:val="heading 8"/>
    <w:basedOn w:val="Normal"/>
    <w:next w:val="Normal"/>
    <w:link w:val="Ttulo8Car"/>
    <w:uiPriority w:val="99"/>
    <w:qFormat/>
    <w:rsid w:val="00696F6D"/>
    <w:pPr>
      <w:keepNext/>
      <w:tabs>
        <w:tab w:val="num" w:pos="0"/>
      </w:tabs>
      <w:jc w:val="both"/>
      <w:outlineLvl w:val="7"/>
    </w:pPr>
    <w:rPr>
      <w:b/>
      <w:bCs/>
      <w:i w:val="0"/>
      <w:iCs/>
      <w:sz w:val="22"/>
    </w:rPr>
  </w:style>
  <w:style w:type="paragraph" w:styleId="Ttulo9">
    <w:name w:val="heading 9"/>
    <w:basedOn w:val="Normal"/>
    <w:next w:val="Normal"/>
    <w:link w:val="Ttulo9Car"/>
    <w:uiPriority w:val="99"/>
    <w:qFormat/>
    <w:rsid w:val="00696F6D"/>
    <w:pPr>
      <w:keepNext/>
      <w:tabs>
        <w:tab w:val="num" w:pos="0"/>
      </w:tabs>
      <w:outlineLvl w:val="8"/>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i/>
      <w:kern w:val="32"/>
      <w:sz w:val="32"/>
      <w:szCs w:val="32"/>
      <w:lang w:val="es-CO" w:eastAsia="ar-SA" w:bidi="ar-SA"/>
    </w:rPr>
  </w:style>
  <w:style w:type="character" w:customStyle="1" w:styleId="Ttulo2Car">
    <w:name w:val="Título 2 Car"/>
    <w:basedOn w:val="Fuentedeprrafopredeter"/>
    <w:link w:val="Ttulo2"/>
    <w:uiPriority w:val="99"/>
    <w:semiHidden/>
    <w:locked/>
    <w:rPr>
      <w:rFonts w:ascii="Cambria" w:hAnsi="Cambria" w:cs="Times New Roman"/>
      <w:b/>
      <w:bCs/>
      <w:iCs/>
      <w:sz w:val="28"/>
      <w:szCs w:val="28"/>
      <w:lang w:val="es-CO" w:eastAsia="ar-SA" w:bidi="ar-SA"/>
    </w:rPr>
  </w:style>
  <w:style w:type="character" w:customStyle="1" w:styleId="Ttulo3Car">
    <w:name w:val="Título 3 Car"/>
    <w:basedOn w:val="Fuentedeprrafopredeter"/>
    <w:link w:val="Ttulo3"/>
    <w:uiPriority w:val="99"/>
    <w:semiHidden/>
    <w:locked/>
    <w:rPr>
      <w:rFonts w:ascii="Cambria" w:hAnsi="Cambria" w:cs="Times New Roman"/>
      <w:b/>
      <w:bCs/>
      <w:i/>
      <w:sz w:val="26"/>
      <w:szCs w:val="26"/>
      <w:lang w:val="es-CO" w:eastAsia="ar-SA" w:bidi="ar-SA"/>
    </w:rPr>
  </w:style>
  <w:style w:type="character" w:customStyle="1" w:styleId="Ttulo4Car">
    <w:name w:val="Título 4 Car"/>
    <w:basedOn w:val="Fuentedeprrafopredeter"/>
    <w:link w:val="Ttulo4"/>
    <w:uiPriority w:val="99"/>
    <w:semiHidden/>
    <w:locked/>
    <w:rPr>
      <w:rFonts w:ascii="Calibri" w:hAnsi="Calibri" w:cs="Times New Roman"/>
      <w:b/>
      <w:bCs/>
      <w:i/>
      <w:sz w:val="28"/>
      <w:szCs w:val="28"/>
      <w:lang w:val="es-CO" w:eastAsia="ar-SA" w:bidi="ar-SA"/>
    </w:rPr>
  </w:style>
  <w:style w:type="character" w:customStyle="1" w:styleId="Ttulo5Car">
    <w:name w:val="Título 5 Car"/>
    <w:basedOn w:val="Fuentedeprrafopredeter"/>
    <w:link w:val="Ttulo5"/>
    <w:uiPriority w:val="99"/>
    <w:semiHidden/>
    <w:locked/>
    <w:rPr>
      <w:rFonts w:ascii="Calibri" w:hAnsi="Calibri" w:cs="Times New Roman"/>
      <w:b/>
      <w:bCs/>
      <w:i/>
      <w:iCs/>
      <w:sz w:val="26"/>
      <w:szCs w:val="26"/>
      <w:lang w:val="es-CO" w:eastAsia="ar-SA" w:bidi="ar-SA"/>
    </w:rPr>
  </w:style>
  <w:style w:type="character" w:customStyle="1" w:styleId="Ttulo6Car">
    <w:name w:val="Título 6 Car"/>
    <w:basedOn w:val="Fuentedeprrafopredeter"/>
    <w:link w:val="Ttulo6"/>
    <w:uiPriority w:val="99"/>
    <w:semiHidden/>
    <w:locked/>
    <w:rPr>
      <w:rFonts w:ascii="Calibri" w:hAnsi="Calibri" w:cs="Times New Roman"/>
      <w:b/>
      <w:bCs/>
      <w:i/>
      <w:lang w:val="es-CO" w:eastAsia="ar-SA" w:bidi="ar-SA"/>
    </w:rPr>
  </w:style>
  <w:style w:type="character" w:customStyle="1" w:styleId="Ttulo7Car">
    <w:name w:val="Título 7 Car"/>
    <w:basedOn w:val="Fuentedeprrafopredeter"/>
    <w:link w:val="Ttulo7"/>
    <w:uiPriority w:val="99"/>
    <w:semiHidden/>
    <w:locked/>
    <w:rPr>
      <w:rFonts w:ascii="Calibri" w:hAnsi="Calibri" w:cs="Times New Roman"/>
      <w:i/>
      <w:sz w:val="24"/>
      <w:szCs w:val="24"/>
      <w:lang w:val="es-CO" w:eastAsia="ar-SA" w:bidi="ar-SA"/>
    </w:rPr>
  </w:style>
  <w:style w:type="character" w:customStyle="1" w:styleId="Ttulo8Car">
    <w:name w:val="Título 8 Car"/>
    <w:basedOn w:val="Fuentedeprrafopredeter"/>
    <w:link w:val="Ttulo8"/>
    <w:uiPriority w:val="99"/>
    <w:semiHidden/>
    <w:locked/>
    <w:rPr>
      <w:rFonts w:ascii="Calibri" w:hAnsi="Calibri" w:cs="Times New Roman"/>
      <w:iCs/>
      <w:sz w:val="24"/>
      <w:szCs w:val="24"/>
      <w:lang w:val="es-CO" w:eastAsia="ar-SA" w:bidi="ar-SA"/>
    </w:rPr>
  </w:style>
  <w:style w:type="character" w:customStyle="1" w:styleId="Ttulo9Car">
    <w:name w:val="Título 9 Car"/>
    <w:basedOn w:val="Fuentedeprrafopredeter"/>
    <w:link w:val="Ttulo9"/>
    <w:uiPriority w:val="99"/>
    <w:semiHidden/>
    <w:locked/>
    <w:rPr>
      <w:rFonts w:ascii="Cambria" w:hAnsi="Cambria" w:cs="Times New Roman"/>
      <w:i/>
      <w:lang w:val="es-CO" w:eastAsia="ar-SA" w:bidi="ar-SA"/>
    </w:rPr>
  </w:style>
  <w:style w:type="character" w:customStyle="1" w:styleId="Fuentedeprrafopredeter2">
    <w:name w:val="Fuente de párrafo predeter.2"/>
    <w:uiPriority w:val="99"/>
    <w:rsid w:val="00696F6D"/>
  </w:style>
  <w:style w:type="character" w:customStyle="1" w:styleId="Fuentedeprrafopredeter1">
    <w:name w:val="Fuente de párrafo predeter.1"/>
    <w:uiPriority w:val="99"/>
    <w:rsid w:val="00696F6D"/>
  </w:style>
  <w:style w:type="character" w:styleId="Hipervnculo">
    <w:name w:val="Hyperlink"/>
    <w:basedOn w:val="Fuentedeprrafopredeter1"/>
    <w:uiPriority w:val="99"/>
    <w:rsid w:val="00696F6D"/>
    <w:rPr>
      <w:rFonts w:cs="Times New Roman"/>
      <w:color w:val="0000FF"/>
      <w:u w:val="single"/>
    </w:rPr>
  </w:style>
  <w:style w:type="character" w:styleId="Hipervnculovisitado">
    <w:name w:val="FollowedHyperlink"/>
    <w:basedOn w:val="Fuentedeprrafopredeter1"/>
    <w:uiPriority w:val="99"/>
    <w:rsid w:val="00696F6D"/>
    <w:rPr>
      <w:rFonts w:cs="Times New Roman"/>
      <w:color w:val="800080"/>
      <w:u w:val="single"/>
    </w:rPr>
  </w:style>
  <w:style w:type="character" w:styleId="Nmerodepgina">
    <w:name w:val="page number"/>
    <w:basedOn w:val="Fuentedeprrafopredeter1"/>
    <w:uiPriority w:val="99"/>
    <w:rsid w:val="00696F6D"/>
    <w:rPr>
      <w:rFonts w:cs="Times New Roman"/>
    </w:rPr>
  </w:style>
  <w:style w:type="paragraph" w:customStyle="1" w:styleId="Encabezado2">
    <w:name w:val="Encabezado2"/>
    <w:basedOn w:val="Normal"/>
    <w:next w:val="Textoindependiente"/>
    <w:uiPriority w:val="99"/>
    <w:rsid w:val="00696F6D"/>
    <w:pPr>
      <w:keepNext/>
      <w:spacing w:before="240" w:after="120"/>
    </w:pPr>
    <w:rPr>
      <w:rFonts w:cs="Tahoma"/>
      <w:sz w:val="28"/>
      <w:szCs w:val="28"/>
    </w:rPr>
  </w:style>
  <w:style w:type="paragraph" w:styleId="Textoindependiente">
    <w:name w:val="Body Text"/>
    <w:basedOn w:val="Normal"/>
    <w:link w:val="TextoindependienteCar"/>
    <w:uiPriority w:val="99"/>
    <w:rsid w:val="00696F6D"/>
    <w:pPr>
      <w:jc w:val="both"/>
    </w:pPr>
    <w:rPr>
      <w:i w:val="0"/>
      <w:iCs/>
    </w:rPr>
  </w:style>
  <w:style w:type="character" w:customStyle="1" w:styleId="TextoindependienteCar">
    <w:name w:val="Texto independiente Car"/>
    <w:basedOn w:val="Fuentedeprrafopredeter"/>
    <w:link w:val="Textoindependiente"/>
    <w:uiPriority w:val="99"/>
    <w:semiHidden/>
    <w:locked/>
    <w:rPr>
      <w:rFonts w:ascii="Arial" w:hAnsi="Arial" w:cs="Arial"/>
      <w:i/>
      <w:sz w:val="24"/>
      <w:szCs w:val="24"/>
      <w:lang w:val="es-CO" w:eastAsia="ar-SA" w:bidi="ar-SA"/>
    </w:rPr>
  </w:style>
  <w:style w:type="paragraph" w:styleId="Lista">
    <w:name w:val="List"/>
    <w:basedOn w:val="Textoindependiente"/>
    <w:uiPriority w:val="99"/>
    <w:rsid w:val="00696F6D"/>
    <w:rPr>
      <w:rFonts w:cs="Tahoma"/>
    </w:rPr>
  </w:style>
  <w:style w:type="paragraph" w:customStyle="1" w:styleId="Etiqueta">
    <w:name w:val="Etiqueta"/>
    <w:basedOn w:val="Normal"/>
    <w:uiPriority w:val="99"/>
    <w:rsid w:val="00696F6D"/>
    <w:pPr>
      <w:suppressLineNumbers/>
      <w:spacing w:before="120" w:after="120"/>
    </w:pPr>
    <w:rPr>
      <w:rFonts w:cs="Tahoma"/>
      <w:iCs/>
    </w:rPr>
  </w:style>
  <w:style w:type="paragraph" w:customStyle="1" w:styleId="ndice">
    <w:name w:val="Índice"/>
    <w:basedOn w:val="Normal"/>
    <w:uiPriority w:val="99"/>
    <w:rsid w:val="00696F6D"/>
    <w:pPr>
      <w:suppressLineNumbers/>
    </w:pPr>
    <w:rPr>
      <w:rFonts w:cs="Tahoma"/>
    </w:rPr>
  </w:style>
  <w:style w:type="paragraph" w:customStyle="1" w:styleId="Encabezado1">
    <w:name w:val="Encabezado1"/>
    <w:basedOn w:val="Normal"/>
    <w:next w:val="Textoindependiente"/>
    <w:uiPriority w:val="99"/>
    <w:rsid w:val="00696F6D"/>
    <w:pPr>
      <w:keepNext/>
      <w:spacing w:before="240" w:after="120"/>
    </w:pPr>
    <w:rPr>
      <w:rFonts w:cs="Tahoma"/>
      <w:sz w:val="28"/>
      <w:szCs w:val="28"/>
    </w:rPr>
  </w:style>
  <w:style w:type="paragraph" w:styleId="Direccinsobre">
    <w:name w:val="envelope address"/>
    <w:basedOn w:val="Normal"/>
    <w:uiPriority w:val="99"/>
    <w:rsid w:val="00696F6D"/>
    <w:pPr>
      <w:ind w:left="2880"/>
    </w:pPr>
    <w:rPr>
      <w:rFonts w:ascii="Monotype Corsiva" w:hAnsi="Monotype Corsiva"/>
      <w:b/>
      <w:i w:val="0"/>
      <w:sz w:val="36"/>
    </w:rPr>
  </w:style>
  <w:style w:type="paragraph" w:customStyle="1" w:styleId="Textoindependiente21">
    <w:name w:val="Texto independiente 21"/>
    <w:basedOn w:val="Normal"/>
    <w:uiPriority w:val="99"/>
    <w:rsid w:val="00696F6D"/>
    <w:pPr>
      <w:jc w:val="both"/>
    </w:pPr>
    <w:rPr>
      <w:i w:val="0"/>
      <w:iCs/>
      <w:sz w:val="22"/>
    </w:rPr>
  </w:style>
  <w:style w:type="paragraph" w:styleId="Encabezado">
    <w:name w:val="header"/>
    <w:basedOn w:val="Normal"/>
    <w:link w:val="EncabezadoCar"/>
    <w:rsid w:val="00696F6D"/>
    <w:pPr>
      <w:tabs>
        <w:tab w:val="center" w:pos="4252"/>
        <w:tab w:val="right" w:pos="8504"/>
      </w:tabs>
    </w:pPr>
    <w:rPr>
      <w:rFonts w:cs="Times New Roman"/>
      <w:i w:val="0"/>
    </w:rPr>
  </w:style>
  <w:style w:type="character" w:customStyle="1" w:styleId="EncabezadoCar">
    <w:name w:val="Encabezado Car"/>
    <w:basedOn w:val="Fuentedeprrafopredeter"/>
    <w:link w:val="Encabezado"/>
    <w:uiPriority w:val="99"/>
    <w:locked/>
    <w:rPr>
      <w:rFonts w:ascii="Arial" w:hAnsi="Arial" w:cs="Arial"/>
      <w:i/>
      <w:sz w:val="24"/>
      <w:szCs w:val="24"/>
      <w:lang w:val="es-CO" w:eastAsia="ar-SA" w:bidi="ar-SA"/>
    </w:rPr>
  </w:style>
  <w:style w:type="paragraph" w:styleId="Piedepgina">
    <w:name w:val="footer"/>
    <w:basedOn w:val="Normal"/>
    <w:link w:val="PiedepginaCar"/>
    <w:rsid w:val="00696F6D"/>
    <w:pPr>
      <w:tabs>
        <w:tab w:val="center" w:pos="4419"/>
        <w:tab w:val="right" w:pos="8838"/>
      </w:tabs>
    </w:pPr>
  </w:style>
  <w:style w:type="character" w:customStyle="1" w:styleId="PiedepginaCar">
    <w:name w:val="Pie de página Car"/>
    <w:basedOn w:val="Fuentedeprrafopredeter"/>
    <w:link w:val="Piedepgina"/>
    <w:locked/>
    <w:rsid w:val="0009535C"/>
    <w:rPr>
      <w:rFonts w:ascii="Arial" w:hAnsi="Arial" w:cs="Arial"/>
      <w:i/>
      <w:sz w:val="24"/>
      <w:szCs w:val="24"/>
      <w:lang w:eastAsia="ar-SA" w:bidi="ar-SA"/>
    </w:rPr>
  </w:style>
  <w:style w:type="paragraph" w:styleId="Ttulo">
    <w:name w:val="Title"/>
    <w:basedOn w:val="Normal"/>
    <w:next w:val="Subttulo"/>
    <w:link w:val="TtuloCar"/>
    <w:uiPriority w:val="99"/>
    <w:qFormat/>
    <w:rsid w:val="00696F6D"/>
    <w:pPr>
      <w:jc w:val="center"/>
    </w:pPr>
    <w:rPr>
      <w:b/>
      <w:bCs/>
      <w:i w:val="0"/>
    </w:rPr>
  </w:style>
  <w:style w:type="character" w:customStyle="1" w:styleId="TtuloCar">
    <w:name w:val="Título Car"/>
    <w:basedOn w:val="Fuentedeprrafopredeter"/>
    <w:link w:val="Ttulo"/>
    <w:uiPriority w:val="99"/>
    <w:locked/>
    <w:rPr>
      <w:rFonts w:ascii="Cambria" w:hAnsi="Cambria" w:cs="Times New Roman"/>
      <w:b/>
      <w:bCs/>
      <w:i/>
      <w:kern w:val="28"/>
      <w:sz w:val="32"/>
      <w:szCs w:val="32"/>
      <w:lang w:val="es-CO" w:eastAsia="ar-SA" w:bidi="ar-SA"/>
    </w:rPr>
  </w:style>
  <w:style w:type="paragraph" w:styleId="Subttulo">
    <w:name w:val="Subtitle"/>
    <w:basedOn w:val="Normal"/>
    <w:next w:val="Textoindependiente"/>
    <w:link w:val="SubttuloCar"/>
    <w:qFormat/>
    <w:rsid w:val="00696F6D"/>
    <w:pPr>
      <w:jc w:val="center"/>
    </w:pPr>
    <w:rPr>
      <w:rFonts w:ascii="Comic Sans MS" w:hAnsi="Comic Sans MS" w:cs="Times New Roman"/>
      <w:b/>
      <w:i w:val="0"/>
      <w:szCs w:val="20"/>
      <w:lang w:val="en-US"/>
    </w:rPr>
  </w:style>
  <w:style w:type="character" w:customStyle="1" w:styleId="SubttuloCar">
    <w:name w:val="Subtítulo Car"/>
    <w:basedOn w:val="Fuentedeprrafopredeter"/>
    <w:link w:val="Subttulo"/>
    <w:locked/>
    <w:rPr>
      <w:rFonts w:ascii="Cambria" w:hAnsi="Cambria" w:cs="Times New Roman"/>
      <w:i/>
      <w:sz w:val="24"/>
      <w:szCs w:val="24"/>
      <w:lang w:val="es-CO" w:eastAsia="ar-SA" w:bidi="ar-SA"/>
    </w:rPr>
  </w:style>
  <w:style w:type="paragraph" w:styleId="Sangradetextonormal">
    <w:name w:val="Body Text Indent"/>
    <w:basedOn w:val="Normal"/>
    <w:link w:val="SangradetextonormalCar"/>
    <w:uiPriority w:val="99"/>
    <w:rsid w:val="00696F6D"/>
    <w:pPr>
      <w:ind w:left="720"/>
      <w:jc w:val="both"/>
    </w:pPr>
    <w:rPr>
      <w:i w:val="0"/>
      <w:iCs/>
    </w:rPr>
  </w:style>
  <w:style w:type="character" w:customStyle="1" w:styleId="SangradetextonormalCar">
    <w:name w:val="Sangría de texto normal Car"/>
    <w:basedOn w:val="Fuentedeprrafopredeter"/>
    <w:link w:val="Sangradetextonormal"/>
    <w:uiPriority w:val="99"/>
    <w:semiHidden/>
    <w:locked/>
    <w:rPr>
      <w:rFonts w:ascii="Arial" w:hAnsi="Arial" w:cs="Arial"/>
      <w:i/>
      <w:sz w:val="24"/>
      <w:szCs w:val="24"/>
      <w:lang w:val="es-CO" w:eastAsia="ar-SA" w:bidi="ar-SA"/>
    </w:rPr>
  </w:style>
  <w:style w:type="paragraph" w:customStyle="1" w:styleId="Sangra2detindependiente1">
    <w:name w:val="Sangría 2 de t. independiente1"/>
    <w:basedOn w:val="Normal"/>
    <w:uiPriority w:val="99"/>
    <w:rsid w:val="00696F6D"/>
    <w:pPr>
      <w:ind w:left="2124" w:firstLine="708"/>
      <w:jc w:val="right"/>
    </w:pPr>
    <w:rPr>
      <w:i w:val="0"/>
    </w:rPr>
  </w:style>
  <w:style w:type="paragraph" w:customStyle="1" w:styleId="Sangra3detindependiente1">
    <w:name w:val="Sangría 3 de t. independiente1"/>
    <w:basedOn w:val="Normal"/>
    <w:uiPriority w:val="99"/>
    <w:rsid w:val="00696F6D"/>
    <w:pPr>
      <w:ind w:left="60"/>
      <w:jc w:val="both"/>
    </w:pPr>
    <w:rPr>
      <w:i w:val="0"/>
      <w:iCs/>
      <w:sz w:val="22"/>
    </w:rPr>
  </w:style>
  <w:style w:type="paragraph" w:customStyle="1" w:styleId="Textoindependiente31">
    <w:name w:val="Texto independiente 31"/>
    <w:basedOn w:val="Normal"/>
    <w:uiPriority w:val="99"/>
    <w:rsid w:val="00696F6D"/>
    <w:pPr>
      <w:jc w:val="both"/>
    </w:pPr>
    <w:rPr>
      <w:sz w:val="22"/>
    </w:rPr>
  </w:style>
  <w:style w:type="paragraph" w:customStyle="1" w:styleId="Saludo1">
    <w:name w:val="Saludo1"/>
    <w:basedOn w:val="Normal"/>
    <w:next w:val="Normal"/>
    <w:uiPriority w:val="99"/>
    <w:rsid w:val="00696F6D"/>
    <w:rPr>
      <w:rFonts w:cs="Times New Roman"/>
      <w:i w:val="0"/>
      <w:sz w:val="20"/>
      <w:szCs w:val="20"/>
      <w:lang w:val="es-ES"/>
    </w:rPr>
  </w:style>
  <w:style w:type="paragraph" w:customStyle="1" w:styleId="xl24">
    <w:name w:val="xl24"/>
    <w:basedOn w:val="Normal"/>
    <w:uiPriority w:val="99"/>
    <w:rsid w:val="00696F6D"/>
    <w:pPr>
      <w:pBdr>
        <w:top w:val="single" w:sz="8" w:space="0" w:color="000000"/>
        <w:left w:val="single" w:sz="8" w:space="0" w:color="000000"/>
      </w:pBdr>
      <w:spacing w:before="280" w:after="280"/>
      <w:jc w:val="center"/>
      <w:textAlignment w:val="top"/>
    </w:pPr>
    <w:rPr>
      <w:b/>
      <w:bCs/>
      <w:i w:val="0"/>
      <w:sz w:val="22"/>
      <w:szCs w:val="22"/>
      <w:lang w:val="es-ES"/>
    </w:rPr>
  </w:style>
  <w:style w:type="paragraph" w:customStyle="1" w:styleId="xl25">
    <w:name w:val="xl25"/>
    <w:basedOn w:val="Normal"/>
    <w:uiPriority w:val="99"/>
    <w:rsid w:val="00696F6D"/>
    <w:pPr>
      <w:pBdr>
        <w:top w:val="single" w:sz="8" w:space="0" w:color="000000"/>
      </w:pBdr>
      <w:spacing w:before="280" w:after="280"/>
      <w:jc w:val="center"/>
      <w:textAlignment w:val="top"/>
    </w:pPr>
    <w:rPr>
      <w:b/>
      <w:bCs/>
      <w:i w:val="0"/>
      <w:sz w:val="22"/>
      <w:szCs w:val="22"/>
      <w:lang w:val="es-ES"/>
    </w:rPr>
  </w:style>
  <w:style w:type="paragraph" w:customStyle="1" w:styleId="xl26">
    <w:name w:val="xl26"/>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7">
    <w:name w:val="xl27"/>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8">
    <w:name w:val="xl28"/>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29">
    <w:name w:val="xl29"/>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0">
    <w:name w:val="xl30"/>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right"/>
    </w:pPr>
    <w:rPr>
      <w:b/>
      <w:bCs/>
      <w:i w:val="0"/>
      <w:sz w:val="22"/>
      <w:szCs w:val="22"/>
      <w:lang w:val="es-ES"/>
    </w:rPr>
  </w:style>
  <w:style w:type="paragraph" w:customStyle="1" w:styleId="xl31">
    <w:name w:val="xl31"/>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2">
    <w:name w:val="xl32"/>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3">
    <w:name w:val="xl33"/>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4">
    <w:name w:val="xl34"/>
    <w:basedOn w:val="Normal"/>
    <w:uiPriority w:val="99"/>
    <w:rsid w:val="00696F6D"/>
    <w:pPr>
      <w:pBdr>
        <w:top w:val="single" w:sz="4" w:space="0" w:color="000000"/>
        <w:bottom w:val="single" w:sz="4" w:space="0" w:color="000000"/>
        <w:right w:val="single" w:sz="4" w:space="0" w:color="000000"/>
      </w:pBdr>
      <w:spacing w:before="280" w:after="280"/>
    </w:pPr>
    <w:rPr>
      <w:b/>
      <w:bCs/>
      <w:i w:val="0"/>
      <w:sz w:val="22"/>
      <w:szCs w:val="22"/>
      <w:lang w:val="es-ES"/>
    </w:rPr>
  </w:style>
  <w:style w:type="paragraph" w:customStyle="1" w:styleId="xl35">
    <w:name w:val="xl35"/>
    <w:basedOn w:val="Normal"/>
    <w:uiPriority w:val="99"/>
    <w:rsid w:val="00696F6D"/>
    <w:pPr>
      <w:pBdr>
        <w:top w:val="single" w:sz="4" w:space="0" w:color="000000"/>
        <w:left w:val="single" w:sz="4" w:space="0" w:color="000000"/>
        <w:bottom w:val="single" w:sz="4" w:space="0" w:color="000000"/>
        <w:right w:val="single" w:sz="4" w:space="0" w:color="000000"/>
      </w:pBdr>
      <w:spacing w:before="280" w:after="280"/>
      <w:jc w:val="center"/>
      <w:textAlignment w:val="top"/>
    </w:pPr>
    <w:rPr>
      <w:b/>
      <w:bCs/>
      <w:i w:val="0"/>
      <w:sz w:val="22"/>
      <w:szCs w:val="22"/>
      <w:lang w:val="es-ES"/>
    </w:rPr>
  </w:style>
  <w:style w:type="paragraph" w:styleId="NormalWeb">
    <w:name w:val="Normal (Web)"/>
    <w:basedOn w:val="Normal"/>
    <w:uiPriority w:val="99"/>
    <w:rsid w:val="00696F6D"/>
    <w:pPr>
      <w:spacing w:before="280" w:after="280"/>
    </w:pPr>
    <w:rPr>
      <w:rFonts w:ascii="Arial Unicode MS" w:hAnsi="Arial Unicode MS" w:cs="Arial Unicode MS"/>
      <w:i w:val="0"/>
      <w:lang w:val="es-ES"/>
    </w:rPr>
  </w:style>
  <w:style w:type="paragraph" w:customStyle="1" w:styleId="Textodebloque1">
    <w:name w:val="Texto de bloque1"/>
    <w:basedOn w:val="Normal"/>
    <w:uiPriority w:val="99"/>
    <w:rsid w:val="00696F6D"/>
    <w:pPr>
      <w:widowControl w:val="0"/>
      <w:ind w:left="120" w:right="-160"/>
      <w:jc w:val="both"/>
    </w:pPr>
    <w:rPr>
      <w:bCs/>
      <w:i w:val="0"/>
      <w:sz w:val="22"/>
    </w:rPr>
  </w:style>
  <w:style w:type="paragraph" w:customStyle="1" w:styleId="Contenidodelmarco">
    <w:name w:val="Contenido del marco"/>
    <w:basedOn w:val="Textoindependiente"/>
    <w:uiPriority w:val="99"/>
    <w:rsid w:val="00696F6D"/>
  </w:style>
  <w:style w:type="paragraph" w:styleId="Textoindependiente2">
    <w:name w:val="Body Text 2"/>
    <w:basedOn w:val="Normal"/>
    <w:link w:val="Textoindependiente2Car"/>
    <w:uiPriority w:val="99"/>
    <w:rsid w:val="00696F6D"/>
    <w:pPr>
      <w:spacing w:after="120" w:line="480" w:lineRule="auto"/>
    </w:pPr>
  </w:style>
  <w:style w:type="character" w:customStyle="1" w:styleId="Textoindependiente2Car">
    <w:name w:val="Texto independiente 2 Car"/>
    <w:basedOn w:val="Fuentedeprrafopredeter"/>
    <w:link w:val="Textoindependiente2"/>
    <w:uiPriority w:val="99"/>
    <w:semiHidden/>
    <w:locked/>
    <w:rPr>
      <w:rFonts w:ascii="Arial" w:hAnsi="Arial" w:cs="Arial"/>
      <w:i/>
      <w:sz w:val="24"/>
      <w:szCs w:val="24"/>
      <w:lang w:val="es-CO" w:eastAsia="ar-SA" w:bidi="ar-SA"/>
    </w:rPr>
  </w:style>
  <w:style w:type="character" w:styleId="Refdecomentario">
    <w:name w:val="annotation reference"/>
    <w:basedOn w:val="Fuentedeprrafopredeter"/>
    <w:uiPriority w:val="99"/>
    <w:semiHidden/>
    <w:rsid w:val="00696F6D"/>
    <w:rPr>
      <w:rFonts w:cs="Times New Roman"/>
      <w:sz w:val="16"/>
      <w:szCs w:val="16"/>
    </w:rPr>
  </w:style>
  <w:style w:type="paragraph" w:styleId="Textocomentario">
    <w:name w:val="annotation text"/>
    <w:basedOn w:val="Normal"/>
    <w:link w:val="TextocomentarioCar"/>
    <w:uiPriority w:val="99"/>
    <w:semiHidden/>
    <w:rsid w:val="00696F6D"/>
    <w:rPr>
      <w:sz w:val="20"/>
      <w:szCs w:val="20"/>
    </w:rPr>
  </w:style>
  <w:style w:type="character" w:customStyle="1" w:styleId="TextocomentarioCar">
    <w:name w:val="Texto comentario Car"/>
    <w:basedOn w:val="Fuentedeprrafopredeter"/>
    <w:link w:val="Textocomentario"/>
    <w:uiPriority w:val="99"/>
    <w:semiHidden/>
    <w:locked/>
    <w:rPr>
      <w:rFonts w:ascii="Arial" w:hAnsi="Arial" w:cs="Arial"/>
      <w:i/>
      <w:sz w:val="20"/>
      <w:szCs w:val="20"/>
      <w:lang w:val="es-CO" w:eastAsia="ar-SA" w:bidi="ar-SA"/>
    </w:rPr>
  </w:style>
  <w:style w:type="paragraph" w:customStyle="1" w:styleId="CommentSubject1">
    <w:name w:val="Comment Subject1"/>
    <w:basedOn w:val="Textocomentario"/>
    <w:next w:val="Textocomentario"/>
    <w:uiPriority w:val="99"/>
    <w:semiHidden/>
    <w:rsid w:val="00696F6D"/>
    <w:rPr>
      <w:b/>
      <w:bCs/>
    </w:rPr>
  </w:style>
  <w:style w:type="paragraph" w:customStyle="1" w:styleId="Textodeglobo1">
    <w:name w:val="Texto de globo1"/>
    <w:basedOn w:val="Normal"/>
    <w:uiPriority w:val="99"/>
    <w:semiHidden/>
    <w:rsid w:val="00696F6D"/>
    <w:rPr>
      <w:rFonts w:ascii="Tahoma" w:hAnsi="Tahoma" w:cs="Tahoma"/>
      <w:sz w:val="16"/>
      <w:szCs w:val="16"/>
    </w:rPr>
  </w:style>
  <w:style w:type="paragraph" w:customStyle="1" w:styleId="Estilo">
    <w:name w:val="Estilo"/>
    <w:basedOn w:val="Normal"/>
    <w:uiPriority w:val="99"/>
    <w:rsid w:val="00696F6D"/>
    <w:pPr>
      <w:suppressAutoHyphens w:val="0"/>
      <w:spacing w:after="160" w:line="240" w:lineRule="exact"/>
    </w:pPr>
    <w:rPr>
      <w:rFonts w:ascii="Verdana" w:hAnsi="Verdana" w:cs="Times New Roman"/>
      <w:i w:val="0"/>
      <w:sz w:val="20"/>
      <w:szCs w:val="20"/>
      <w:lang w:val="en-US" w:eastAsia="en-US"/>
    </w:rPr>
  </w:style>
  <w:style w:type="paragraph" w:styleId="Textodeglobo">
    <w:name w:val="Balloon Text"/>
    <w:basedOn w:val="Normal"/>
    <w:link w:val="TextodegloboCar"/>
    <w:uiPriority w:val="99"/>
    <w:rsid w:val="007428BE"/>
    <w:rPr>
      <w:rFonts w:ascii="Tahoma" w:hAnsi="Tahoma" w:cs="Tahoma"/>
      <w:sz w:val="16"/>
      <w:szCs w:val="16"/>
    </w:rPr>
  </w:style>
  <w:style w:type="character" w:customStyle="1" w:styleId="TextodegloboCar">
    <w:name w:val="Texto de globo Car"/>
    <w:basedOn w:val="Fuentedeprrafopredeter"/>
    <w:link w:val="Textodeglobo"/>
    <w:uiPriority w:val="99"/>
    <w:locked/>
    <w:rsid w:val="007428BE"/>
    <w:rPr>
      <w:rFonts w:ascii="Tahoma" w:hAnsi="Tahoma" w:cs="Tahoma"/>
      <w:i/>
      <w:sz w:val="16"/>
      <w:szCs w:val="16"/>
      <w:lang w:val="es-CO" w:eastAsia="ar-SA" w:bidi="ar-SA"/>
    </w:rPr>
  </w:style>
  <w:style w:type="table" w:styleId="Tablaconcuadrcula">
    <w:name w:val="Table Grid"/>
    <w:basedOn w:val="Tablanormal"/>
    <w:uiPriority w:val="99"/>
    <w:rsid w:val="003D61C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locked/>
    <w:rsid w:val="00B86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5961">
      <w:bodyDiv w:val="1"/>
      <w:marLeft w:val="0"/>
      <w:marRight w:val="0"/>
      <w:marTop w:val="0"/>
      <w:marBottom w:val="0"/>
      <w:divBdr>
        <w:top w:val="none" w:sz="0" w:space="0" w:color="auto"/>
        <w:left w:val="none" w:sz="0" w:space="0" w:color="auto"/>
        <w:bottom w:val="none" w:sz="0" w:space="0" w:color="auto"/>
        <w:right w:val="none" w:sz="0" w:space="0" w:color="auto"/>
      </w:divBdr>
    </w:div>
    <w:div w:id="1046762077">
      <w:bodyDiv w:val="1"/>
      <w:marLeft w:val="0"/>
      <w:marRight w:val="0"/>
      <w:marTop w:val="0"/>
      <w:marBottom w:val="0"/>
      <w:divBdr>
        <w:top w:val="none" w:sz="0" w:space="0" w:color="auto"/>
        <w:left w:val="none" w:sz="0" w:space="0" w:color="auto"/>
        <w:bottom w:val="none" w:sz="0" w:space="0" w:color="auto"/>
        <w:right w:val="none" w:sz="0" w:space="0" w:color="auto"/>
      </w:divBdr>
    </w:div>
    <w:div w:id="1574468319">
      <w:marLeft w:val="0"/>
      <w:marRight w:val="0"/>
      <w:marTop w:val="0"/>
      <w:marBottom w:val="0"/>
      <w:divBdr>
        <w:top w:val="none" w:sz="0" w:space="0" w:color="auto"/>
        <w:left w:val="none" w:sz="0" w:space="0" w:color="auto"/>
        <w:bottom w:val="none" w:sz="0" w:space="0" w:color="auto"/>
        <w:right w:val="none" w:sz="0" w:space="0" w:color="auto"/>
      </w:divBdr>
    </w:div>
    <w:div w:id="15744683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aceres@supersolidaria.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duarte@supersolidaria.gov.c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164DF-AD2B-476D-9578-AD3C50665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2704</Words>
  <Characters>14875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TH</vt:lpstr>
    </vt:vector>
  </TitlesOfParts>
  <Company>Supersolidaria</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dc:title>
  <dc:creator>SES</dc:creator>
  <cp:lastModifiedBy>Caterine Benitez Cardenas</cp:lastModifiedBy>
  <cp:revision>8</cp:revision>
  <cp:lastPrinted>2007-11-17T22:44:00Z</cp:lastPrinted>
  <dcterms:created xsi:type="dcterms:W3CDTF">2024-07-17T21:21:00Z</dcterms:created>
  <dcterms:modified xsi:type="dcterms:W3CDTF">2025-10-27T15:53:00Z</dcterms:modified>
</cp:coreProperties>
</file>