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106B" w14:textId="77777777" w:rsidR="00A742E4" w:rsidRDefault="00A742E4" w:rsidP="00A742E4">
      <w:pPr>
        <w:widowControl w:val="0"/>
        <w:adjustRightInd w:val="0"/>
        <w:snapToGrid w:val="0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bookmarkStart w:id="0" w:name="_Toc28030753"/>
      <w:bookmarkStart w:id="1" w:name="_Toc34031702"/>
      <w:bookmarkStart w:id="2" w:name="_Toc54095005"/>
      <w:bookmarkStart w:id="3" w:name="_GoBack"/>
      <w:bookmarkEnd w:id="3"/>
    </w:p>
    <w:p w14:paraId="47B797A1" w14:textId="7A21398F" w:rsidR="00A742E4" w:rsidRPr="00962853" w:rsidRDefault="00A742E4" w:rsidP="00A742E4">
      <w:pPr>
        <w:widowControl w:val="0"/>
        <w:adjustRightInd w:val="0"/>
        <w:snapToGrid w:val="0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4.3.4. </w:t>
      </w:r>
      <w:r>
        <w:rPr>
          <w:rFonts w:ascii="Arial" w:hAnsi="Arial" w:cs="Arial"/>
          <w:b/>
          <w:sz w:val="22"/>
          <w:szCs w:val="22"/>
        </w:rPr>
        <w:tab/>
      </w:r>
      <w:r w:rsidRPr="00962853">
        <w:rPr>
          <w:rFonts w:ascii="Arial" w:hAnsi="Arial" w:cs="Arial"/>
          <w:b/>
          <w:sz w:val="22"/>
          <w:szCs w:val="22"/>
        </w:rPr>
        <w:t>Administración de la seguridad de la información</w:t>
      </w:r>
      <w:bookmarkEnd w:id="0"/>
      <w:bookmarkEnd w:id="1"/>
      <w:bookmarkEnd w:id="2"/>
    </w:p>
    <w:p w14:paraId="6940CC55" w14:textId="77777777" w:rsidR="00A742E4" w:rsidRPr="00962853" w:rsidRDefault="00A742E4" w:rsidP="00A742E4">
      <w:pPr>
        <w:widowControl w:val="0"/>
        <w:adjustRightInd w:val="0"/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75EBD8B4" w14:textId="77777777" w:rsidR="00A742E4" w:rsidRDefault="00A742E4" w:rsidP="00A742E4">
      <w:pPr>
        <w:widowControl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 xml:space="preserve">De acuerdo con su estructura tecnológica, tamaño y manejo de información, se debe definir, implementar, probar y mantener un proceso para administrar la seguridad de la información del negocio que incluya elementos como: </w:t>
      </w:r>
    </w:p>
    <w:p w14:paraId="73E56CF2" w14:textId="77777777" w:rsidR="00A742E4" w:rsidRPr="0073190D" w:rsidRDefault="00A742E4" w:rsidP="00A742E4">
      <w:pPr>
        <w:widowControl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14:paraId="43916DFC" w14:textId="77777777" w:rsidR="00A742E4" w:rsidRPr="0073190D" w:rsidRDefault="00A742E4" w:rsidP="00A742E4">
      <w:pPr>
        <w:pStyle w:val="Prrafodelista"/>
        <w:widowControl w:val="0"/>
        <w:numPr>
          <w:ilvl w:val="0"/>
          <w:numId w:val="2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>Definir la política de seguridad de la información.</w:t>
      </w:r>
    </w:p>
    <w:p w14:paraId="3D352FF1" w14:textId="77777777" w:rsidR="00A742E4" w:rsidRDefault="00A742E4" w:rsidP="00A742E4">
      <w:pPr>
        <w:pStyle w:val="Prrafodelista"/>
        <w:widowControl w:val="0"/>
        <w:adjustRightInd w:val="0"/>
        <w:snapToGri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C7D10C2" w14:textId="77777777" w:rsidR="00A742E4" w:rsidRPr="0073190D" w:rsidRDefault="00A742E4" w:rsidP="00A742E4">
      <w:pPr>
        <w:pStyle w:val="Prrafodelista"/>
        <w:widowControl w:val="0"/>
        <w:numPr>
          <w:ilvl w:val="0"/>
          <w:numId w:val="2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>Identificar los activos de información.</w:t>
      </w:r>
    </w:p>
    <w:p w14:paraId="24F8C502" w14:textId="77777777" w:rsidR="00A742E4" w:rsidRDefault="00A742E4" w:rsidP="00A742E4">
      <w:pPr>
        <w:pStyle w:val="Prrafodelista"/>
        <w:widowControl w:val="0"/>
        <w:adjustRightInd w:val="0"/>
        <w:snapToGri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76AAB218" w14:textId="77777777" w:rsidR="00A742E4" w:rsidRPr="0073190D" w:rsidRDefault="00A742E4" w:rsidP="00A742E4">
      <w:pPr>
        <w:pStyle w:val="Prrafodelista"/>
        <w:widowControl w:val="0"/>
        <w:numPr>
          <w:ilvl w:val="0"/>
          <w:numId w:val="2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>Identificar los riesgos de seguridad de la información.</w:t>
      </w:r>
    </w:p>
    <w:p w14:paraId="0D7F30CB" w14:textId="77777777" w:rsidR="00A742E4" w:rsidRDefault="00A742E4" w:rsidP="00A742E4">
      <w:pPr>
        <w:pStyle w:val="Prrafodelista"/>
        <w:widowControl w:val="0"/>
        <w:adjustRightInd w:val="0"/>
        <w:snapToGri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637F88C7" w14:textId="77777777" w:rsidR="00A742E4" w:rsidRDefault="00A742E4" w:rsidP="00A742E4">
      <w:pPr>
        <w:pStyle w:val="Prrafodelista"/>
        <w:widowControl w:val="0"/>
        <w:numPr>
          <w:ilvl w:val="0"/>
          <w:numId w:val="2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>Definir, implementar y probar un plan de gestión de riesgos de seguridad de la información.</w:t>
      </w:r>
    </w:p>
    <w:p w14:paraId="2EAF1A81" w14:textId="77777777" w:rsidR="00A742E4" w:rsidRPr="00C3055E" w:rsidRDefault="00A742E4" w:rsidP="00A742E4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64FA4" wp14:editId="12DA23A4">
                <wp:simplePos x="0" y="0"/>
                <wp:positionH relativeFrom="column">
                  <wp:posOffset>-118110</wp:posOffset>
                </wp:positionH>
                <wp:positionV relativeFrom="paragraph">
                  <wp:posOffset>203200</wp:posOffset>
                </wp:positionV>
                <wp:extent cx="0" cy="266700"/>
                <wp:effectExtent l="0" t="0" r="3810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50584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16pt" to="-9.3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0E988309" w14:textId="77777777" w:rsidR="00A742E4" w:rsidRPr="006C50B9" w:rsidRDefault="00A742E4" w:rsidP="00A742E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50B9">
        <w:rPr>
          <w:rFonts w:ascii="Arial" w:hAnsi="Arial" w:cs="Arial"/>
          <w:color w:val="000000"/>
          <w:sz w:val="22"/>
          <w:szCs w:val="22"/>
        </w:rPr>
        <w:t xml:space="preserve">En el </w:t>
      </w:r>
      <w:r w:rsidRPr="006C50B9">
        <w:rPr>
          <w:rFonts w:ascii="Arial" w:hAnsi="Arial" w:cs="Arial"/>
          <w:b/>
          <w:bCs/>
          <w:color w:val="000000"/>
          <w:sz w:val="22"/>
          <w:szCs w:val="22"/>
        </w:rPr>
        <w:t>Anexo 2</w:t>
      </w:r>
      <w:r w:rsidRPr="006C50B9">
        <w:rPr>
          <w:rFonts w:ascii="Arial" w:hAnsi="Arial" w:cs="Arial"/>
          <w:color w:val="000000"/>
          <w:sz w:val="22"/>
          <w:szCs w:val="22"/>
        </w:rPr>
        <w:t xml:space="preserve"> del presente capítulo se detallan las Instrucciones sobre seguridad y calidad de la información para la prestación de los servicios financieros.</w:t>
      </w:r>
    </w:p>
    <w:p w14:paraId="0BE79E47" w14:textId="77777777" w:rsidR="00A742E4" w:rsidRPr="0073190D" w:rsidRDefault="00A742E4" w:rsidP="00A742E4">
      <w:pPr>
        <w:pStyle w:val="Prrafodelista"/>
        <w:widowControl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bookmarkStart w:id="4" w:name="_Hlk88124912"/>
    </w:p>
    <w:p w14:paraId="4FAFD180" w14:textId="77777777" w:rsidR="00A742E4" w:rsidRPr="00B834DA" w:rsidRDefault="00A742E4" w:rsidP="00A742E4">
      <w:pPr>
        <w:pStyle w:val="Ttulo2"/>
        <w:keepNext w:val="0"/>
        <w:numPr>
          <w:ilvl w:val="1"/>
          <w:numId w:val="1"/>
        </w:numPr>
        <w:tabs>
          <w:tab w:val="num" w:pos="360"/>
        </w:tabs>
        <w:adjustRightInd w:val="0"/>
        <w:snapToGrid w:val="0"/>
        <w:spacing w:before="0" w:after="0"/>
        <w:ind w:left="567" w:hanging="567"/>
        <w:jc w:val="both"/>
        <w:rPr>
          <w:i w:val="0"/>
          <w:sz w:val="22"/>
          <w:szCs w:val="22"/>
        </w:rPr>
      </w:pPr>
      <w:bookmarkStart w:id="5" w:name="_Toc26430610"/>
      <w:bookmarkStart w:id="6" w:name="_Toc26944554"/>
      <w:bookmarkStart w:id="7" w:name="_Toc28030754"/>
      <w:bookmarkStart w:id="8" w:name="_Toc34031703"/>
      <w:bookmarkStart w:id="9" w:name="_Toc54095006"/>
      <w:bookmarkStart w:id="10" w:name="_Toc58420330"/>
      <w:r w:rsidRPr="00B834DA">
        <w:rPr>
          <w:i w:val="0"/>
          <w:sz w:val="22"/>
          <w:szCs w:val="22"/>
        </w:rPr>
        <w:t>MONITOREO</w:t>
      </w:r>
      <w:bookmarkEnd w:id="5"/>
      <w:bookmarkEnd w:id="6"/>
      <w:bookmarkEnd w:id="7"/>
      <w:bookmarkEnd w:id="8"/>
      <w:bookmarkEnd w:id="9"/>
      <w:bookmarkEnd w:id="10"/>
    </w:p>
    <w:p w14:paraId="2704EED2" w14:textId="77777777" w:rsidR="00A742E4" w:rsidRDefault="00A742E4" w:rsidP="00A742E4">
      <w:pPr>
        <w:widowControl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14:paraId="034AC788" w14:textId="77777777" w:rsidR="00A742E4" w:rsidRDefault="00A742E4" w:rsidP="00A742E4">
      <w:pPr>
        <w:widowControl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>La organización debe realizar un monitoreo periódico, mínimo en forma semestral, del perfil de riesgo operativo y de la exposición a pérdidas. Para tal efecto, se deben cumplir, como mínimo, con los siguientes requisitos:</w:t>
      </w:r>
    </w:p>
    <w:p w14:paraId="66D56CB1" w14:textId="77777777" w:rsidR="00A742E4" w:rsidRPr="0073190D" w:rsidRDefault="00A742E4" w:rsidP="00A742E4">
      <w:pPr>
        <w:widowControl w:val="0"/>
        <w:adjustRightInd w:val="0"/>
        <w:snapToGrid w:val="0"/>
        <w:jc w:val="both"/>
        <w:rPr>
          <w:rFonts w:ascii="Arial" w:hAnsi="Arial" w:cs="Arial"/>
          <w:sz w:val="22"/>
          <w:szCs w:val="22"/>
        </w:rPr>
      </w:pPr>
    </w:p>
    <w:p w14:paraId="24B7BCAA" w14:textId="77777777" w:rsidR="00A742E4" w:rsidRPr="0073190D" w:rsidRDefault="00A742E4" w:rsidP="00A742E4">
      <w:pPr>
        <w:pStyle w:val="Prrafodelista"/>
        <w:widowControl w:val="0"/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 xml:space="preserve">Asegurar que las acciones planeadas para administrar el SARO se ejecuten. </w:t>
      </w:r>
    </w:p>
    <w:p w14:paraId="37CD81A0" w14:textId="77777777" w:rsidR="00A742E4" w:rsidRDefault="00A742E4" w:rsidP="00A742E4">
      <w:pPr>
        <w:pStyle w:val="Prrafodelista"/>
        <w:widowControl w:val="0"/>
        <w:adjustRightInd w:val="0"/>
        <w:snapToGri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61F2B5FC" w14:textId="77777777" w:rsidR="00A742E4" w:rsidRPr="0073190D" w:rsidRDefault="00A742E4" w:rsidP="00A742E4">
      <w:pPr>
        <w:pStyle w:val="Prrafodelista"/>
        <w:widowControl w:val="0"/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>Evaluar la eficiencia de la implementación del SARO, que facilite la rápida detección y corrección de sus deficiencias.</w:t>
      </w:r>
    </w:p>
    <w:p w14:paraId="373C5CBD" w14:textId="77777777" w:rsidR="00A742E4" w:rsidRDefault="00A742E4" w:rsidP="00A742E4">
      <w:pPr>
        <w:pStyle w:val="Prrafodelista"/>
        <w:widowControl w:val="0"/>
        <w:adjustRightInd w:val="0"/>
        <w:snapToGri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1BE907C" w14:textId="77777777" w:rsidR="00A742E4" w:rsidRPr="0073190D" w:rsidRDefault="00A742E4" w:rsidP="00A742E4">
      <w:pPr>
        <w:pStyle w:val="Prrafodelista"/>
        <w:widowControl w:val="0"/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 xml:space="preserve">Hacer revisiones sobre la marcha para asegurar que los controles estén funcionando en forma efectiva. </w:t>
      </w:r>
    </w:p>
    <w:p w14:paraId="26B9A603" w14:textId="77777777" w:rsidR="00A742E4" w:rsidRDefault="00A742E4" w:rsidP="00A742E4">
      <w:pPr>
        <w:pStyle w:val="Prrafodelista"/>
        <w:widowControl w:val="0"/>
        <w:adjustRightInd w:val="0"/>
        <w:snapToGri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B228713" w14:textId="77777777" w:rsidR="00A742E4" w:rsidRPr="0073190D" w:rsidRDefault="00A742E4" w:rsidP="00A742E4">
      <w:pPr>
        <w:pStyle w:val="Prrafodelista"/>
        <w:widowControl w:val="0"/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>Identificar los riesgos operativos que puedan surgir, o que no fueron detectados antes, mediante la definición de indicadores descriptivos o prospectivos.</w:t>
      </w:r>
    </w:p>
    <w:p w14:paraId="36A4B068" w14:textId="77777777" w:rsidR="00A742E4" w:rsidRDefault="00A742E4" w:rsidP="00A742E4">
      <w:pPr>
        <w:pStyle w:val="Prrafodelista"/>
        <w:widowControl w:val="0"/>
        <w:adjustRightInd w:val="0"/>
        <w:snapToGri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67104AB7" w14:textId="77777777" w:rsidR="00A742E4" w:rsidRPr="0073190D" w:rsidRDefault="00A742E4" w:rsidP="00A742E4">
      <w:pPr>
        <w:pStyle w:val="Prrafodelista"/>
        <w:widowControl w:val="0"/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>Asegurar que el riesgo residual de cada riesgo operativo se encuentre en los niveles de aceptación establecidos por la organización.</w:t>
      </w:r>
    </w:p>
    <w:p w14:paraId="770F2C83" w14:textId="77777777" w:rsidR="00A742E4" w:rsidRDefault="00A742E4" w:rsidP="00A742E4">
      <w:pPr>
        <w:pStyle w:val="Prrafodelista"/>
        <w:widowControl w:val="0"/>
        <w:adjustRightInd w:val="0"/>
        <w:snapToGri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C2B9C39" w14:textId="77777777" w:rsidR="00A742E4" w:rsidRDefault="00A742E4" w:rsidP="00A742E4">
      <w:pPr>
        <w:pStyle w:val="Prrafodelista"/>
        <w:widowControl w:val="0"/>
        <w:numPr>
          <w:ilvl w:val="0"/>
          <w:numId w:val="3"/>
        </w:numPr>
        <w:adjustRightInd w:val="0"/>
        <w:snapToGri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190D">
        <w:rPr>
          <w:rFonts w:ascii="Arial" w:hAnsi="Arial" w:cs="Arial"/>
          <w:sz w:val="22"/>
          <w:szCs w:val="22"/>
        </w:rPr>
        <w:t xml:space="preserve">La actualización de las etapas de identificación, medición y control, definidas en este capítulo, deben tener una periodicidad acorde con los riesgos operativos potenciales y ocurridos, así como con la frecuencia y naturaleza de los cambios en el entorno operativo de la organización. </w:t>
      </w:r>
    </w:p>
    <w:bookmarkEnd w:id="4"/>
    <w:p w14:paraId="5014E948" w14:textId="77777777" w:rsidR="00A742E4" w:rsidRPr="0073190D" w:rsidRDefault="00A742E4" w:rsidP="00A742E4">
      <w:pPr>
        <w:pStyle w:val="Prrafodelista"/>
        <w:widowControl w:val="0"/>
        <w:adjustRightInd w:val="0"/>
        <w:snapToGri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46604C" w14:textId="532EA9CD" w:rsidR="00A742E4" w:rsidRDefault="00A742E4" w:rsidP="00A742E4">
      <w:pPr>
        <w:pStyle w:val="Ttulo1"/>
        <w:keepNext w:val="0"/>
        <w:numPr>
          <w:ilvl w:val="0"/>
          <w:numId w:val="1"/>
        </w:numPr>
        <w:tabs>
          <w:tab w:val="num" w:pos="360"/>
        </w:tabs>
        <w:adjustRightInd w:val="0"/>
        <w:snapToGrid w:val="0"/>
        <w:ind w:left="567" w:hanging="567"/>
        <w:jc w:val="both"/>
        <w:rPr>
          <w:b/>
          <w:i w:val="0"/>
          <w:sz w:val="22"/>
          <w:szCs w:val="22"/>
        </w:rPr>
      </w:pPr>
      <w:bookmarkStart w:id="11" w:name="_Toc26430611"/>
      <w:bookmarkStart w:id="12" w:name="_Toc26944555"/>
      <w:bookmarkStart w:id="13" w:name="_Toc28030755"/>
      <w:bookmarkStart w:id="14" w:name="_Toc34031704"/>
      <w:bookmarkStart w:id="15" w:name="_Toc54095007"/>
      <w:bookmarkStart w:id="16" w:name="_Toc58420331"/>
      <w:bookmarkStart w:id="17" w:name="_Hlk88124624"/>
      <w:r w:rsidRPr="00B834DA">
        <w:rPr>
          <w:b/>
          <w:i w:val="0"/>
          <w:sz w:val="22"/>
          <w:szCs w:val="22"/>
        </w:rPr>
        <w:t>ELEMENTOS DEL SAR</w:t>
      </w:r>
      <w:bookmarkEnd w:id="11"/>
      <w:r w:rsidRPr="00B834DA">
        <w:rPr>
          <w:b/>
          <w:i w:val="0"/>
          <w:sz w:val="22"/>
          <w:szCs w:val="22"/>
        </w:rPr>
        <w:t>O</w:t>
      </w:r>
      <w:bookmarkEnd w:id="12"/>
      <w:bookmarkEnd w:id="13"/>
      <w:bookmarkEnd w:id="14"/>
      <w:bookmarkEnd w:id="15"/>
      <w:bookmarkEnd w:id="16"/>
    </w:p>
    <w:p w14:paraId="4034F98F" w14:textId="77777777" w:rsidR="000924AF" w:rsidRPr="000924AF" w:rsidRDefault="000924AF" w:rsidP="000924AF"/>
    <w:p w14:paraId="1FE92817" w14:textId="4B56C5DB" w:rsidR="00A742E4" w:rsidRDefault="00A742E4" w:rsidP="00A742E4">
      <w:pPr>
        <w:pStyle w:val="Ttulo2"/>
        <w:keepNext w:val="0"/>
        <w:widowControl w:val="0"/>
        <w:numPr>
          <w:ilvl w:val="1"/>
          <w:numId w:val="1"/>
        </w:numPr>
        <w:tabs>
          <w:tab w:val="num" w:pos="360"/>
        </w:tabs>
        <w:adjustRightInd w:val="0"/>
        <w:snapToGrid w:val="0"/>
        <w:spacing w:before="0" w:after="0"/>
        <w:ind w:left="567" w:hanging="567"/>
        <w:jc w:val="both"/>
        <w:rPr>
          <w:i w:val="0"/>
          <w:sz w:val="22"/>
          <w:szCs w:val="22"/>
        </w:rPr>
      </w:pPr>
      <w:bookmarkStart w:id="18" w:name="_Toc28030756"/>
      <w:bookmarkStart w:id="19" w:name="_Toc34031705"/>
      <w:bookmarkStart w:id="20" w:name="_Toc54095008"/>
      <w:bookmarkStart w:id="21" w:name="_Toc58420332"/>
      <w:r w:rsidRPr="00C3055E">
        <w:rPr>
          <w:i w:val="0"/>
          <w:sz w:val="22"/>
          <w:szCs w:val="22"/>
        </w:rPr>
        <w:t>POLÍTICAS</w:t>
      </w:r>
      <w:bookmarkEnd w:id="18"/>
      <w:bookmarkEnd w:id="19"/>
      <w:bookmarkEnd w:id="20"/>
      <w:bookmarkEnd w:id="21"/>
    </w:p>
    <w:p w14:paraId="5AF13368" w14:textId="77777777" w:rsidR="000924AF" w:rsidRPr="000924AF" w:rsidRDefault="000924AF" w:rsidP="000924AF"/>
    <w:p w14:paraId="1F98F1C1" w14:textId="4EB3C416" w:rsidR="001E0468" w:rsidRDefault="00A742E4" w:rsidP="00A742E4">
      <w:r w:rsidRPr="0073190D">
        <w:rPr>
          <w:rFonts w:ascii="Arial" w:hAnsi="Arial" w:cs="Arial"/>
          <w:sz w:val="22"/>
          <w:szCs w:val="22"/>
        </w:rPr>
        <w:t>Cada una de las etapas y elementos del SARO deben contar con unas políticas claras y</w:t>
      </w:r>
      <w:bookmarkEnd w:id="17"/>
    </w:p>
    <w:sectPr w:rsidR="001E0468" w:rsidSect="00A742E4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F1B0" w14:textId="77777777" w:rsidR="00FC7693" w:rsidRDefault="00FC7693" w:rsidP="00A742E4">
      <w:r>
        <w:separator/>
      </w:r>
    </w:p>
  </w:endnote>
  <w:endnote w:type="continuationSeparator" w:id="0">
    <w:p w14:paraId="4F76F89E" w14:textId="77777777" w:rsidR="00FC7693" w:rsidRDefault="00FC7693" w:rsidP="00A7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53407" w14:textId="77777777" w:rsidR="00FC7693" w:rsidRDefault="00FC7693" w:rsidP="00A742E4">
      <w:r>
        <w:separator/>
      </w:r>
    </w:p>
  </w:footnote>
  <w:footnote w:type="continuationSeparator" w:id="0">
    <w:p w14:paraId="352C4081" w14:textId="77777777" w:rsidR="00FC7693" w:rsidRDefault="00FC7693" w:rsidP="00A7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EEA2" w14:textId="4A082BD6" w:rsidR="00A742E4" w:rsidRDefault="00A742E4" w:rsidP="00A742E4">
    <w:pPr>
      <w:pStyle w:val="Encabezado"/>
      <w:jc w:val="center"/>
      <w:rPr>
        <w:rFonts w:ascii="Arial Rounded MT Bold" w:hAnsi="Arial Rounded MT Bold" w:cs="Arial"/>
        <w:b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77A27A7" wp14:editId="13D4E59B">
          <wp:simplePos x="0" y="0"/>
          <wp:positionH relativeFrom="column">
            <wp:posOffset>-1061085</wp:posOffset>
          </wp:positionH>
          <wp:positionV relativeFrom="paragraph">
            <wp:posOffset>-544830</wp:posOffset>
          </wp:positionV>
          <wp:extent cx="7443575" cy="1076325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Cabezo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35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36815" w14:textId="77777777" w:rsidR="00A742E4" w:rsidRDefault="00A742E4" w:rsidP="00A742E4">
    <w:pPr>
      <w:pStyle w:val="Encabezado"/>
      <w:jc w:val="center"/>
      <w:rPr>
        <w:rFonts w:ascii="Arial Rounded MT Bold" w:hAnsi="Arial Rounded MT Bold" w:cs="Arial"/>
        <w:b/>
      </w:rPr>
    </w:pPr>
  </w:p>
  <w:p w14:paraId="6CD7594C" w14:textId="77777777" w:rsidR="00A742E4" w:rsidRDefault="00A742E4" w:rsidP="00A742E4">
    <w:pPr>
      <w:pStyle w:val="Encabezado"/>
      <w:jc w:val="center"/>
      <w:rPr>
        <w:rFonts w:ascii="Arial Rounded MT Bold" w:hAnsi="Arial Rounded MT Bold" w:cs="Arial"/>
        <w:b/>
      </w:rPr>
    </w:pPr>
  </w:p>
  <w:p w14:paraId="5AC4A4E6" w14:textId="7E7515EE" w:rsidR="00A742E4" w:rsidRPr="00912855" w:rsidRDefault="00A742E4" w:rsidP="00A742E4">
    <w:pPr>
      <w:pStyle w:val="Encabezado"/>
      <w:jc w:val="center"/>
      <w:rPr>
        <w:rFonts w:ascii="Arial Rounded MT Bold" w:hAnsi="Arial Rounded MT Bold" w:cs="Arial"/>
        <w:b/>
      </w:rPr>
    </w:pPr>
    <w:r>
      <w:rPr>
        <w:rFonts w:ascii="Arial Rounded MT Bold" w:hAnsi="Arial Rounded MT Bold" w:cs="Arial"/>
        <w:b/>
      </w:rPr>
      <w:t>CIRCULAR BÁ</w:t>
    </w:r>
    <w:r w:rsidRPr="00912855">
      <w:rPr>
        <w:rFonts w:ascii="Arial Rounded MT Bold" w:hAnsi="Arial Rounded MT Bold" w:cs="Arial"/>
        <w:b/>
      </w:rPr>
      <w:t>SICA CONTABLE Y FINANCIERA</w:t>
    </w:r>
  </w:p>
  <w:p w14:paraId="693890F3" w14:textId="24ED8BC0" w:rsidR="00A742E4" w:rsidRDefault="00A742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34B"/>
    <w:multiLevelType w:val="multilevel"/>
    <w:tmpl w:val="02E8F8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70A7D09"/>
    <w:multiLevelType w:val="hybridMultilevel"/>
    <w:tmpl w:val="1938EB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54C25BA">
      <w:start w:val="1"/>
      <w:numFmt w:val="lowerRoman"/>
      <w:lvlText w:val="(%2)"/>
      <w:lvlJc w:val="left"/>
      <w:pPr>
        <w:ind w:left="2160" w:hanging="108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6C66"/>
    <w:multiLevelType w:val="hybridMultilevel"/>
    <w:tmpl w:val="866EBE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54C25BA">
      <w:start w:val="1"/>
      <w:numFmt w:val="lowerRoman"/>
      <w:lvlText w:val="(%2)"/>
      <w:lvlJc w:val="left"/>
      <w:pPr>
        <w:ind w:left="2160" w:hanging="108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E4"/>
    <w:rsid w:val="000924AF"/>
    <w:rsid w:val="001E0468"/>
    <w:rsid w:val="006C50B9"/>
    <w:rsid w:val="00730562"/>
    <w:rsid w:val="00977E6D"/>
    <w:rsid w:val="00A742E4"/>
    <w:rsid w:val="00B01E46"/>
    <w:rsid w:val="00B13DC9"/>
    <w:rsid w:val="00B65F9A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C9BE"/>
  <w15:chartTrackingRefBased/>
  <w15:docId w15:val="{4D1D7ADB-FEC0-46DF-BF86-9D89E91D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42E4"/>
    <w:pPr>
      <w:keepNext/>
      <w:outlineLvl w:val="0"/>
    </w:pPr>
    <w:rPr>
      <w:rFonts w:ascii="Arial" w:hAnsi="Arial" w:cs="Arial"/>
      <w:i/>
      <w:iCs/>
      <w:sz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A742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2E4"/>
    <w:rPr>
      <w:rFonts w:ascii="Arial" w:eastAsia="Times New Roman" w:hAnsi="Arial" w:cs="Arial"/>
      <w:i/>
      <w:iCs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742E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742E4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742E4"/>
    <w:pPr>
      <w:ind w:left="708"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A742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42E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742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2E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8a</dc:creator>
  <cp:keywords/>
  <dc:description/>
  <cp:lastModifiedBy>Myriam Amparo Sosa Garcia</cp:lastModifiedBy>
  <cp:revision>2</cp:revision>
  <dcterms:created xsi:type="dcterms:W3CDTF">2022-01-13T17:08:00Z</dcterms:created>
  <dcterms:modified xsi:type="dcterms:W3CDTF">2022-01-13T17:08:00Z</dcterms:modified>
</cp:coreProperties>
</file>