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67995" w14:textId="77777777" w:rsidR="00727D6A" w:rsidRPr="00727D6A" w:rsidRDefault="00727D6A" w:rsidP="00727D6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TÍTULO VII</w:t>
      </w:r>
    </w:p>
    <w:p w14:paraId="442308E5" w14:textId="35ED63B5" w:rsidR="00727D6A" w:rsidRPr="00727D6A" w:rsidRDefault="00727D6A" w:rsidP="00727D6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ANEXOS, DEROGA</w:t>
      </w:r>
      <w:r w:rsidR="00C434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TORIAS Y </w:t>
      </w:r>
      <w:r w:rsidR="00C43482"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VIGENCIA</w:t>
      </w:r>
      <w:r w:rsidR="00C4348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B817962" w14:textId="77777777" w:rsid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1902C6" w14:textId="4FBD480A" w:rsidR="00727D6A" w:rsidRPr="00727D6A" w:rsidRDefault="00727D6A" w:rsidP="00727D6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ANEXOS</w:t>
      </w:r>
    </w:p>
    <w:p w14:paraId="4D8C27A4" w14:textId="5A932B6C" w:rsidR="00727D6A" w:rsidRP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- FORMATOS </w:t>
      </w:r>
      <w:r w:rsidR="00875608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PREVENCIÓN DE LAVADO DE ACTIVOS Y FINANCIACIÓN DEL TERRORISMO.</w:t>
      </w:r>
    </w:p>
    <w:p w14:paraId="4F0C8F0A" w14:textId="62DAFFB5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Anexo 1: Reporte de operaciones sospechosas (ROS) de las organizaciones vigiladas por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uperintendencia de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conomía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olidaria.</w:t>
      </w:r>
    </w:p>
    <w:p w14:paraId="2FD8473A" w14:textId="5917D8C8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Anexo 2: Reporte de transacciones de clientes de las organizaciones vigiladas por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uperintendencia de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conomía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olidaria.</w:t>
      </w:r>
    </w:p>
    <w:p w14:paraId="173158AF" w14:textId="54FCBD41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>Anexo 3: Reporte de clientes exonerados del reporte de transacciones de clientes de las organizaciones vigiladas por la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uperintendencia de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conomía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olidaria.</w:t>
      </w:r>
    </w:p>
    <w:p w14:paraId="5B23F888" w14:textId="5DAFE86C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Anexo 4: Reporte de productos ofrecidos por las organizaciones vigiladas por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uperintendencia de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conomía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olidaria.</w:t>
      </w:r>
    </w:p>
    <w:p w14:paraId="0E0253C6" w14:textId="6037DFD7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Anexo 5: Reporte de las transacciones con tarjetas por parte de las organizaciones vigiladas por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uperintendencia de la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conomía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S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olidaria.</w:t>
      </w:r>
    </w:p>
    <w:p w14:paraId="0A5488A8" w14:textId="75246FA4" w:rsidR="00727D6A" w:rsidRPr="00727D6A" w:rsidRDefault="00727D6A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Anexo 6: Formulario de vinculación del asociado (cliente). </w:t>
      </w:r>
    </w:p>
    <w:p w14:paraId="38C84E5E" w14:textId="6AC24F2E" w:rsidR="00727D6A" w:rsidRPr="00727D6A" w:rsidRDefault="00931C7D" w:rsidP="00727D6A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Anexo 7: 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>Cronograma de implementación.</w:t>
      </w:r>
    </w:p>
    <w:p w14:paraId="24492E7E" w14:textId="5AF5B2C9" w:rsidR="00727D6A" w:rsidRP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II 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REPORTES DE LAS ENTIDADES EN INTERVENCIÓN FORZOSA ADMINISTRATIVA</w:t>
      </w:r>
      <w:r w:rsidR="00C434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C8BA2BF" w14:textId="7DD1C8B8" w:rsidR="00727D6A" w:rsidRPr="00727D6A" w:rsidRDefault="006B01B5" w:rsidP="00727D6A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1. Personal al servicio de la entidad.</w:t>
      </w:r>
    </w:p>
    <w:p w14:paraId="13EF6DC1" w14:textId="74D962D5" w:rsidR="00727D6A" w:rsidRPr="00727D6A" w:rsidRDefault="006B01B5" w:rsidP="00727D6A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2. Contratos del área administrativa</w:t>
      </w:r>
    </w:p>
    <w:p w14:paraId="63523C09" w14:textId="32204E20" w:rsidR="00727D6A" w:rsidRPr="00727D6A" w:rsidRDefault="006B01B5" w:rsidP="00727D6A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3. Pólizas de seguros</w:t>
      </w:r>
    </w:p>
    <w:p w14:paraId="64D60494" w14:textId="13D8BBA8" w:rsidR="00727D6A" w:rsidRPr="00727D6A" w:rsidRDefault="006B01B5" w:rsidP="00727D6A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4. Bienes inmuebles</w:t>
      </w:r>
    </w:p>
    <w:p w14:paraId="017A7D68" w14:textId="65CF6DD7" w:rsidR="00727D6A" w:rsidRPr="00727D6A" w:rsidRDefault="006B01B5" w:rsidP="00727D6A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5. Bienes muebles y enseres</w:t>
      </w:r>
    </w:p>
    <w:p w14:paraId="5329B7E0" w14:textId="568CF02C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No. 6 Ficha técnica</w:t>
      </w:r>
    </w:p>
    <w:p w14:paraId="027FF5F4" w14:textId="5F216FA9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lastRenderedPageBreak/>
        <w:t>Anexo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>No 7. Procesos jurídicos</w:t>
      </w:r>
    </w:p>
    <w:p w14:paraId="7B983B6D" w14:textId="41D3F096" w:rsidR="006B01B5" w:rsidRPr="006B01B5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8. Situación tributaria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BA9251" w14:textId="1F4F4A8B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9. Informe de caja y bancos</w:t>
      </w:r>
    </w:p>
    <w:p w14:paraId="3E8BDD87" w14:textId="6D9328EA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10. Portafolio de inversiones</w:t>
      </w:r>
    </w:p>
    <w:p w14:paraId="16BE476D" w14:textId="7B912C5B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11. Recaudos, gastos y pagos</w:t>
      </w:r>
    </w:p>
    <w:p w14:paraId="1CC6D786" w14:textId="567E5918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12. Balance general y estado de resultados, que incluya saldo inicial, movimientos débitos y créditos y el saldo final.</w:t>
      </w:r>
    </w:p>
    <w:p w14:paraId="1346E8A1" w14:textId="2D7B1B22" w:rsidR="00727D6A" w:rsidRPr="00727D6A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 13. Evaluación de las diversas áreas por el contralor</w:t>
      </w:r>
    </w:p>
    <w:p w14:paraId="3FD81E4A" w14:textId="527063F0" w:rsidR="006B01B5" w:rsidRPr="006B01B5" w:rsidRDefault="006B01B5" w:rsidP="006B01B5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 xml:space="preserve"> No.14 Ficha técnica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EBD8EB" w14:textId="04A1E9EF" w:rsidR="006B01B5" w:rsidRPr="006B01B5" w:rsidRDefault="006B01B5" w:rsidP="006B01B5">
      <w:pPr>
        <w:pStyle w:val="Ttulo1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B01B5">
        <w:rPr>
          <w:rFonts w:ascii="Arial" w:hAnsi="Arial" w:cs="Arial"/>
          <w:color w:val="000000" w:themeColor="text1"/>
          <w:sz w:val="22"/>
          <w:szCs w:val="22"/>
        </w:rPr>
        <w:t xml:space="preserve">Anexo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No. </w:t>
      </w:r>
      <w:r w:rsidRPr="006B01B5">
        <w:rPr>
          <w:rFonts w:ascii="Arial" w:hAnsi="Arial" w:cs="Arial"/>
          <w:color w:val="000000" w:themeColor="text1"/>
          <w:sz w:val="22"/>
          <w:szCs w:val="22"/>
        </w:rPr>
        <w:t>15 Seguimiento toma de posesión para administrar</w:t>
      </w:r>
    </w:p>
    <w:p w14:paraId="02475341" w14:textId="77777777" w:rsidR="006B01B5" w:rsidRDefault="006B01B5" w:rsidP="00727D6A">
      <w:pPr>
        <w:pStyle w:val="Ttulo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1DA14D" w14:textId="1ED8C015" w:rsidR="00727D6A" w:rsidRPr="00727D6A" w:rsidRDefault="006B01B5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II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 – </w:t>
      </w:r>
      <w:r w:rsidRPr="006B01B5">
        <w:rPr>
          <w:rFonts w:ascii="Arial" w:hAnsi="Arial" w:cs="Arial"/>
          <w:color w:val="000000" w:themeColor="text1"/>
          <w:sz w:val="22"/>
          <w:szCs w:val="22"/>
        </w:rPr>
        <w:t xml:space="preserve">FICHAS TÉCNICAS DE LOS TRÁMITES CONTENIDOS EN LOS TITULOS II, III Y IV DE LA PRESENTE CIRCULAR. </w:t>
      </w:r>
    </w:p>
    <w:p w14:paraId="22C1CA2F" w14:textId="4ADF81AF" w:rsidR="00727D6A" w:rsidRDefault="006B01B5" w:rsidP="006B01B5">
      <w:pPr>
        <w:pStyle w:val="Ttulo1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Ficha técnica Titulo II.</w:t>
      </w:r>
    </w:p>
    <w:p w14:paraId="5A7620DB" w14:textId="01884F26" w:rsidR="006B01B5" w:rsidRDefault="006B01B5" w:rsidP="006B01B5">
      <w:pPr>
        <w:pStyle w:val="Ttulo1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Ficha técnica Titulo III.</w:t>
      </w:r>
    </w:p>
    <w:p w14:paraId="00D7451C" w14:textId="106CBA15" w:rsidR="006B01B5" w:rsidRDefault="006B01B5" w:rsidP="006B01B5">
      <w:pPr>
        <w:pStyle w:val="Ttulo1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Ficha técnica Titulo III, Fondos de empleados de categoría plena.</w:t>
      </w:r>
    </w:p>
    <w:p w14:paraId="7042D081" w14:textId="325C8985" w:rsidR="006B01B5" w:rsidRPr="00C43482" w:rsidRDefault="006B01B5" w:rsidP="006B01B5">
      <w:pPr>
        <w:pStyle w:val="Ttulo1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Ficha técnica Titulo IV.</w:t>
      </w:r>
    </w:p>
    <w:p w14:paraId="366CA3D6" w14:textId="7C4DB127" w:rsidR="00C43482" w:rsidRDefault="006B01B5" w:rsidP="00C43482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 </w:t>
      </w:r>
      <w:r w:rsidR="00C43482">
        <w:rPr>
          <w:rFonts w:ascii="Arial" w:hAnsi="Arial" w:cs="Arial"/>
          <w:b/>
          <w:bCs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43482" w:rsidRPr="00C43482">
        <w:rPr>
          <w:rFonts w:ascii="Arial" w:hAnsi="Arial" w:cs="Arial"/>
          <w:color w:val="000000" w:themeColor="text1"/>
          <w:sz w:val="22"/>
          <w:szCs w:val="22"/>
        </w:rPr>
        <w:t>FORMATOS PARA LA INSCRIPCIÓN DE AGENTES ESPECIALES, LIQUIDADORES, REVISORES FISCALES Y CONTRALORES.</w:t>
      </w:r>
    </w:p>
    <w:p w14:paraId="7B7EE83E" w14:textId="48536FE8" w:rsidR="006B01B5" w:rsidRDefault="00C43482" w:rsidP="00C43482">
      <w:pPr>
        <w:pStyle w:val="Ttulo1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Formato de inscripción para persona natura.</w:t>
      </w:r>
    </w:p>
    <w:p w14:paraId="1447EC09" w14:textId="4B9228F7" w:rsidR="00C43482" w:rsidRDefault="00C43482" w:rsidP="00C43482">
      <w:pPr>
        <w:pStyle w:val="Ttulo1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Formato de inscripción para persona jurídica. </w:t>
      </w:r>
    </w:p>
    <w:p w14:paraId="413A790D" w14:textId="7B42C215" w:rsidR="00875608" w:rsidRDefault="00875608" w:rsidP="00875608"/>
    <w:p w14:paraId="4B1CA214" w14:textId="77777777" w:rsidR="00875608" w:rsidRPr="00875608" w:rsidRDefault="00875608" w:rsidP="00875608"/>
    <w:p w14:paraId="270D0E3B" w14:textId="77777777" w:rsidR="00896C21" w:rsidRPr="00896C21" w:rsidRDefault="00896C21" w:rsidP="00896C21"/>
    <w:p w14:paraId="7726CC35" w14:textId="64650DF0" w:rsidR="00727D6A" w:rsidRDefault="00727D6A" w:rsidP="00C43482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4348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DEROGATORIA Y VIGENCIA</w:t>
      </w:r>
    </w:p>
    <w:p w14:paraId="13D4A3F4" w14:textId="77777777" w:rsidR="00B117C4" w:rsidRPr="00B117C4" w:rsidRDefault="00B117C4" w:rsidP="00B117C4"/>
    <w:p w14:paraId="20200E9C" w14:textId="51C028AC" w:rsidR="00B117C4" w:rsidRDefault="00B117C4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17C4">
        <w:rPr>
          <w:rFonts w:ascii="Arial" w:hAnsi="Arial" w:cs="Arial"/>
          <w:color w:val="000000" w:themeColor="text1"/>
          <w:sz w:val="22"/>
          <w:szCs w:val="22"/>
        </w:rPr>
        <w:t>La Circular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Básica Jurídica,</w:t>
      </w:r>
      <w:r w:rsidRPr="00B117C4">
        <w:rPr>
          <w:rFonts w:ascii="Arial" w:hAnsi="Arial" w:cs="Arial"/>
          <w:color w:val="000000" w:themeColor="text1"/>
          <w:sz w:val="22"/>
          <w:szCs w:val="22"/>
        </w:rPr>
        <w:t xml:space="preserve"> se expide con fundamento en las facultades consagradas en los numerales 2, 3 y 22 del artículo 36 de la Ley 454 de 1998; en consecuencia, deberá ser acatada y observada por todas las organizaciones de la economía solidaria, sujetas a la supervisión de esta Superintendencia, de conformidad con los objetivos y finalidades previstos en el artículo 35 de la Ley 454 de 1998.</w:t>
      </w:r>
    </w:p>
    <w:p w14:paraId="70C93352" w14:textId="560BDCBC" w:rsidR="00727D6A" w:rsidRP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>La presente circular sustituye y deroga la Circular Básica Jurídica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 xml:space="preserve"> 06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de 20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15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y rige a partir de su publicación en el Diario Oficial.</w:t>
      </w:r>
    </w:p>
    <w:p w14:paraId="186C1D89" w14:textId="7F406551" w:rsidR="00931C7D" w:rsidRDefault="00931C7D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En lo que respecta a la implementación de las modificaciones contenidas en el Titulo V acerca del sistema de administración del riesgo de lavado de activos y financiación del terrorismo (SARLAFT), </w:t>
      </w:r>
      <w:r w:rsidRPr="00931C7D">
        <w:rPr>
          <w:rFonts w:ascii="Arial" w:hAnsi="Arial" w:cs="Arial"/>
          <w:color w:val="000000" w:themeColor="text1"/>
          <w:sz w:val="22"/>
          <w:szCs w:val="22"/>
        </w:rPr>
        <w:t>las organizaciones solidarias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,</w:t>
      </w:r>
      <w:r w:rsidRPr="00931C7D">
        <w:rPr>
          <w:rFonts w:ascii="Arial" w:hAnsi="Arial" w:cs="Arial"/>
          <w:color w:val="000000" w:themeColor="text1"/>
          <w:sz w:val="22"/>
          <w:szCs w:val="22"/>
        </w:rPr>
        <w:t xml:space="preserve"> de acuerdo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con el </w:t>
      </w:r>
      <w:r w:rsidRPr="00931C7D">
        <w:rPr>
          <w:rFonts w:ascii="Arial" w:hAnsi="Arial" w:cs="Arial"/>
          <w:color w:val="000000" w:themeColor="text1"/>
          <w:sz w:val="22"/>
          <w:szCs w:val="22"/>
        </w:rPr>
        <w:t>ámbito de aplicación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>,</w:t>
      </w:r>
      <w:r w:rsidRPr="00931C7D">
        <w:rPr>
          <w:rFonts w:ascii="Arial" w:hAnsi="Arial" w:cs="Arial"/>
          <w:color w:val="000000" w:themeColor="text1"/>
          <w:sz w:val="22"/>
          <w:szCs w:val="22"/>
        </w:rPr>
        <w:t xml:space="preserve"> deberán ajustar sus reglamentos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931C7D">
        <w:rPr>
          <w:rFonts w:ascii="Arial" w:hAnsi="Arial" w:cs="Arial"/>
          <w:color w:val="000000" w:themeColor="text1"/>
          <w:sz w:val="22"/>
          <w:szCs w:val="22"/>
        </w:rPr>
        <w:t xml:space="preserve"> a más tardar e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="00CD7DEF" w:rsidRPr="00875608">
        <w:rPr>
          <w:rFonts w:ascii="Arial" w:hAnsi="Arial" w:cs="Arial"/>
          <w:b/>
          <w:color w:val="000000" w:themeColor="text1"/>
          <w:sz w:val="22"/>
          <w:szCs w:val="22"/>
        </w:rPr>
        <w:t>30 de</w:t>
      </w:r>
      <w:r w:rsidRPr="00875608">
        <w:rPr>
          <w:rFonts w:ascii="Arial" w:hAnsi="Arial" w:cs="Arial"/>
          <w:b/>
          <w:color w:val="000000" w:themeColor="text1"/>
          <w:sz w:val="22"/>
          <w:szCs w:val="22"/>
        </w:rPr>
        <w:t xml:space="preserve"> septiembre del 2021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y dar cumplimiento a las fechas definidas para realizar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los ajustes en los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reportes ante la UIAF, tal y como 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>
        <w:rPr>
          <w:rFonts w:ascii="Arial" w:hAnsi="Arial" w:cs="Arial"/>
          <w:color w:val="000000" w:themeColor="text1"/>
          <w:sz w:val="22"/>
          <w:szCs w:val="22"/>
        </w:rPr>
        <w:t>establece e</w:t>
      </w:r>
      <w:r w:rsidR="00875608">
        <w:rPr>
          <w:rFonts w:ascii="Arial" w:hAnsi="Arial" w:cs="Arial"/>
          <w:color w:val="000000" w:themeColor="text1"/>
          <w:sz w:val="22"/>
          <w:szCs w:val="22"/>
        </w:rPr>
        <w:t>n 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cronograma de implementación</w:t>
      </w:r>
      <w:r w:rsidR="00CD7DEF">
        <w:rPr>
          <w:rFonts w:ascii="Arial" w:hAnsi="Arial" w:cs="Arial"/>
          <w:color w:val="000000" w:themeColor="text1"/>
          <w:sz w:val="22"/>
          <w:szCs w:val="22"/>
        </w:rPr>
        <w:t xml:space="preserve">, contenido en </w:t>
      </w:r>
      <w:r w:rsidR="00875608">
        <w:rPr>
          <w:rFonts w:ascii="Arial" w:hAnsi="Arial" w:cs="Arial"/>
          <w:color w:val="000000" w:themeColor="text1"/>
          <w:sz w:val="22"/>
          <w:szCs w:val="22"/>
        </w:rPr>
        <w:t xml:space="preserve">el anexo 7 del numeral I sobre los formatos de </w:t>
      </w:r>
      <w:r w:rsidR="00875608" w:rsidRPr="00727D6A">
        <w:rPr>
          <w:rFonts w:ascii="Arial" w:hAnsi="Arial" w:cs="Arial"/>
          <w:color w:val="000000" w:themeColor="text1"/>
          <w:sz w:val="22"/>
          <w:szCs w:val="22"/>
        </w:rPr>
        <w:t>prevención de lavado de activos y financiación del terrorismo.</w:t>
      </w:r>
    </w:p>
    <w:p w14:paraId="37CC5A2F" w14:textId="6F548480" w:rsidR="00896C21" w:rsidRDefault="00896C21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Aunado a lo anterior, se incorporan y 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>deroga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27D6A" w:rsidRPr="00727D6A">
        <w:rPr>
          <w:rFonts w:ascii="Arial" w:hAnsi="Arial" w:cs="Arial"/>
          <w:color w:val="000000" w:themeColor="text1"/>
          <w:sz w:val="22"/>
          <w:szCs w:val="22"/>
        </w:rPr>
        <w:t>las Circulares Externas y Cartas Circulares que resulten contrarias frente a lo aquí dispuesto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tales como: (circular externa 6 de 2011; circular externa 14 de 2018; circular externa 10 de 2020; circular externa 19 de 2020, carta circular 3 de 2012) y las demás que las sustituyan, adicionen o modifiquen.   </w:t>
      </w:r>
    </w:p>
    <w:p w14:paraId="71C2C9B8" w14:textId="54A689DB" w:rsidR="00727D6A" w:rsidRP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>Las circulares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6C21" w:rsidRPr="00727D6A">
        <w:rPr>
          <w:rFonts w:ascii="Arial" w:hAnsi="Arial" w:cs="Arial"/>
          <w:color w:val="000000" w:themeColor="text1"/>
          <w:sz w:val="22"/>
          <w:szCs w:val="22"/>
        </w:rPr>
        <w:t>que ha expedido la Superintendencia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 xml:space="preserve"> son de carácter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interpretati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vo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, las cuales no son reglamentarias sino conceptuales, no pierden su vigencia, siempre y cuando las normas a las que se refiere se encuentren vigentes y no hayan sido modificadas. </w:t>
      </w:r>
    </w:p>
    <w:p w14:paraId="58C19EA3" w14:textId="4AC02973" w:rsidR="00727D6A" w:rsidRPr="00727D6A" w:rsidRDefault="00727D6A" w:rsidP="00727D6A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Las referencias normativas que en otras instrucciones de la Superintendencia se realicen a la Circular 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 xml:space="preserve">Básica Jurídica 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0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6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de 20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15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, se entenderán hechas a las que correspondan dentro de la nueva estructura de la Circular Básica Jurídica reexpedida, de acuerdo con el tema respectivo.</w:t>
      </w:r>
    </w:p>
    <w:p w14:paraId="0C69A2F5" w14:textId="3AE7A9AC" w:rsidR="00B117C4" w:rsidRPr="00B117C4" w:rsidRDefault="00727D6A" w:rsidP="00B117C4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Las actuaciones administrativas adelantadas por esta Superintendencia, que se encuentren en curso a la fecha de entrada en vigencia de la presente Circular y que tengan como sustento las instrucciones contenidas en la Circular 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 xml:space="preserve">Básica Jurídica 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0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6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 xml:space="preserve"> de 20</w:t>
      </w:r>
      <w:r w:rsidR="00896C21">
        <w:rPr>
          <w:rFonts w:ascii="Arial" w:hAnsi="Arial" w:cs="Arial"/>
          <w:color w:val="000000" w:themeColor="text1"/>
          <w:sz w:val="22"/>
          <w:szCs w:val="22"/>
        </w:rPr>
        <w:t>15</w:t>
      </w:r>
      <w:r w:rsidRPr="00727D6A">
        <w:rPr>
          <w:rFonts w:ascii="Arial" w:hAnsi="Arial" w:cs="Arial"/>
          <w:color w:val="000000" w:themeColor="text1"/>
          <w:sz w:val="22"/>
          <w:szCs w:val="22"/>
        </w:rPr>
        <w:t>, continuarán su procedimiento hasta su terminación, con base en las disposiciones aplicables al momento de la ocurrencia de los hechos.</w:t>
      </w:r>
    </w:p>
    <w:sectPr w:rsidR="00B117C4" w:rsidRPr="00B117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CCA9" w14:textId="77777777" w:rsidR="009E3DF8" w:rsidRDefault="009E3DF8" w:rsidP="00896C21">
      <w:pPr>
        <w:spacing w:after="0" w:line="240" w:lineRule="auto"/>
      </w:pPr>
      <w:r>
        <w:separator/>
      </w:r>
    </w:p>
  </w:endnote>
  <w:endnote w:type="continuationSeparator" w:id="0">
    <w:p w14:paraId="433676AB" w14:textId="77777777" w:rsidR="009E3DF8" w:rsidRDefault="009E3DF8" w:rsidP="0089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C6F7" w14:textId="7E59F5B1" w:rsidR="00896C21" w:rsidRDefault="00896C21">
    <w:pPr>
      <w:pStyle w:val="Piedepgina"/>
    </w:pPr>
    <w:r>
      <w:rPr>
        <w:noProof/>
        <w:sz w:val="20"/>
        <w:lang w:eastAsia="es-CO"/>
      </w:rPr>
      <w:drawing>
        <wp:inline distT="0" distB="0" distL="0" distR="0" wp14:anchorId="5C33827B" wp14:editId="1560D84B">
          <wp:extent cx="5612130" cy="877808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77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08BA" w14:textId="77777777" w:rsidR="009E3DF8" w:rsidRDefault="009E3DF8" w:rsidP="00896C21">
      <w:pPr>
        <w:spacing w:after="0" w:line="240" w:lineRule="auto"/>
      </w:pPr>
      <w:r>
        <w:separator/>
      </w:r>
    </w:p>
  </w:footnote>
  <w:footnote w:type="continuationSeparator" w:id="0">
    <w:p w14:paraId="5104B3BD" w14:textId="77777777" w:rsidR="009E3DF8" w:rsidRDefault="009E3DF8" w:rsidP="0089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C246" w14:textId="5256DFF0" w:rsidR="00896C21" w:rsidRDefault="00896C21">
    <w:pPr>
      <w:pStyle w:val="Encabezado"/>
    </w:pPr>
    <w:r>
      <w:rPr>
        <w:noProof/>
        <w:lang w:eastAsia="es-CO"/>
      </w:rPr>
      <w:drawing>
        <wp:inline distT="0" distB="0" distL="0" distR="0" wp14:anchorId="69D9CCE8" wp14:editId="08EB8F4A">
          <wp:extent cx="5612130" cy="924135"/>
          <wp:effectExtent l="0" t="0" r="7620" b="9525"/>
          <wp:docPr id="57" name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2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207"/>
    <w:multiLevelType w:val="hybridMultilevel"/>
    <w:tmpl w:val="7EB459C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9F04DD"/>
    <w:multiLevelType w:val="hybridMultilevel"/>
    <w:tmpl w:val="9D3E0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EFC"/>
    <w:multiLevelType w:val="hybridMultilevel"/>
    <w:tmpl w:val="BE542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3AC7"/>
    <w:multiLevelType w:val="hybridMultilevel"/>
    <w:tmpl w:val="BFCEB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6A"/>
    <w:rsid w:val="004F26F2"/>
    <w:rsid w:val="006B01B5"/>
    <w:rsid w:val="00727D6A"/>
    <w:rsid w:val="00875608"/>
    <w:rsid w:val="00896C21"/>
    <w:rsid w:val="00931C7D"/>
    <w:rsid w:val="00963206"/>
    <w:rsid w:val="009E3DF8"/>
    <w:rsid w:val="00B117C4"/>
    <w:rsid w:val="00C43482"/>
    <w:rsid w:val="00CD7DEF"/>
    <w:rsid w:val="00C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DB6E"/>
  <w15:chartTrackingRefBased/>
  <w15:docId w15:val="{93CA7B96-9AAD-4ABF-8183-25FC761C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B01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C21"/>
  </w:style>
  <w:style w:type="paragraph" w:styleId="Piedepgina">
    <w:name w:val="footer"/>
    <w:basedOn w:val="Normal"/>
    <w:link w:val="PiedepginaCar"/>
    <w:uiPriority w:val="99"/>
    <w:unhideWhenUsed/>
    <w:rsid w:val="00896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rojas</dc:creator>
  <cp:keywords/>
  <dc:description/>
  <cp:lastModifiedBy>Daniela rojas</cp:lastModifiedBy>
  <cp:revision>2</cp:revision>
  <dcterms:created xsi:type="dcterms:W3CDTF">2021-01-25T22:29:00Z</dcterms:created>
  <dcterms:modified xsi:type="dcterms:W3CDTF">2021-01-25T22:29:00Z</dcterms:modified>
</cp:coreProperties>
</file>