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5557" w:rsidRDefault="00385557" w:rsidP="00407BDD">
      <w:pPr>
        <w:jc w:val="both"/>
        <w:rPr>
          <w:i w:val="0"/>
          <w:iCs/>
          <w:sz w:val="22"/>
          <w:szCs w:val="22"/>
        </w:rPr>
      </w:pPr>
    </w:p>
    <w:p w:rsidR="006B30CA" w:rsidRDefault="00407BDD" w:rsidP="00407BDD">
      <w:pPr>
        <w:jc w:val="both"/>
        <w:rPr>
          <w:i w:val="0"/>
          <w:sz w:val="22"/>
          <w:szCs w:val="22"/>
        </w:rPr>
      </w:pPr>
      <w:r w:rsidRPr="00FB2F7B">
        <w:rPr>
          <w:i w:val="0"/>
          <w:iCs/>
          <w:sz w:val="22"/>
          <w:szCs w:val="22"/>
        </w:rPr>
        <w:t>Con la expedición del Decreto 344 de 2017 el Gobierno Nacional</w:t>
      </w:r>
      <w:r w:rsidR="00BD6464">
        <w:rPr>
          <w:i w:val="0"/>
          <w:iCs/>
          <w:sz w:val="22"/>
          <w:szCs w:val="22"/>
        </w:rPr>
        <w:t>,</w:t>
      </w:r>
      <w:r w:rsidRPr="00FB2F7B">
        <w:rPr>
          <w:i w:val="0"/>
          <w:iCs/>
          <w:sz w:val="22"/>
          <w:szCs w:val="22"/>
        </w:rPr>
        <w:t xml:space="preserve"> adicionó el </w:t>
      </w:r>
      <w:r w:rsidRPr="00FB2F7B">
        <w:rPr>
          <w:i w:val="0"/>
          <w:sz w:val="22"/>
          <w:szCs w:val="22"/>
        </w:rPr>
        <w:t>Título 5 a la Parte 11 del Libro 2</w:t>
      </w:r>
      <w:r w:rsidR="00BD6464">
        <w:rPr>
          <w:i w:val="0"/>
          <w:sz w:val="22"/>
          <w:szCs w:val="22"/>
        </w:rPr>
        <w:t>,</w:t>
      </w:r>
      <w:r w:rsidRPr="00FB2F7B">
        <w:rPr>
          <w:i w:val="0"/>
          <w:sz w:val="22"/>
          <w:szCs w:val="22"/>
        </w:rPr>
        <w:t xml:space="preserve"> del Decreto 1068 de 2015, Decreto Único Reglamentario del Sector Hacienda y Crédito Público, relacionado con normas aplicables a los Fondos de Empleados</w:t>
      </w:r>
      <w:r w:rsidR="00AC2472">
        <w:rPr>
          <w:i w:val="0"/>
          <w:sz w:val="22"/>
          <w:szCs w:val="22"/>
        </w:rPr>
        <w:t xml:space="preserve"> de Categoría Plena</w:t>
      </w:r>
      <w:r w:rsidRPr="00FB2F7B">
        <w:rPr>
          <w:i w:val="0"/>
          <w:sz w:val="22"/>
          <w:szCs w:val="22"/>
        </w:rPr>
        <w:t xml:space="preserve"> para la prestación de servicios de ahorro y crédito, con el objeto, entre otros, de dotar a los Fondos de Empleados de la regulación prudencial adecuada para la prestación de servicios de ahorro y crédito, que les permita contar con herramientas de fortalecimiento patrimonial y adecuada administración</w:t>
      </w:r>
      <w:r w:rsidR="009955C0">
        <w:rPr>
          <w:i w:val="0"/>
          <w:sz w:val="22"/>
          <w:szCs w:val="22"/>
        </w:rPr>
        <w:t xml:space="preserve"> </w:t>
      </w:r>
      <w:r w:rsidRPr="00FB2F7B">
        <w:rPr>
          <w:i w:val="0"/>
          <w:sz w:val="22"/>
          <w:szCs w:val="22"/>
        </w:rPr>
        <w:t>de riesgo crediticio, considerando los estándares aceptados internacionalmente para organizaciones de economía solidaria que prestan servicios de ahorro y crédito excl</w:t>
      </w:r>
      <w:r w:rsidR="004A2666">
        <w:rPr>
          <w:i w:val="0"/>
          <w:sz w:val="22"/>
          <w:szCs w:val="22"/>
        </w:rPr>
        <w:t>usivamente a sus asociados, su</w:t>
      </w:r>
      <w:r w:rsidRPr="00FB2F7B">
        <w:rPr>
          <w:i w:val="0"/>
          <w:sz w:val="22"/>
          <w:szCs w:val="22"/>
        </w:rPr>
        <w:t xml:space="preserve"> naturaleza, car</w:t>
      </w:r>
      <w:r w:rsidR="004A2666">
        <w:rPr>
          <w:i w:val="0"/>
          <w:sz w:val="22"/>
          <w:szCs w:val="22"/>
        </w:rPr>
        <w:t xml:space="preserve">acterísticas y heterogeneidad </w:t>
      </w:r>
      <w:r w:rsidRPr="00FB2F7B">
        <w:rPr>
          <w:i w:val="0"/>
          <w:sz w:val="22"/>
          <w:szCs w:val="22"/>
        </w:rPr>
        <w:t>existente</w:t>
      </w:r>
      <w:r w:rsidR="006B30CA">
        <w:rPr>
          <w:i w:val="0"/>
          <w:sz w:val="22"/>
          <w:szCs w:val="22"/>
        </w:rPr>
        <w:t>s entre los Fondos de Empleados.</w:t>
      </w:r>
    </w:p>
    <w:p w:rsidR="00407BDD" w:rsidRDefault="00407BDD" w:rsidP="00407BDD">
      <w:pPr>
        <w:jc w:val="both"/>
        <w:rPr>
          <w:i w:val="0"/>
          <w:iCs/>
          <w:sz w:val="22"/>
          <w:szCs w:val="22"/>
          <w:lang w:val="es-MX"/>
        </w:rPr>
      </w:pPr>
    </w:p>
    <w:p w:rsidR="006B30CA" w:rsidRDefault="004A2666" w:rsidP="006B30CA">
      <w:pPr>
        <w:jc w:val="both"/>
        <w:rPr>
          <w:i w:val="0"/>
          <w:iCs/>
          <w:sz w:val="22"/>
          <w:szCs w:val="22"/>
        </w:rPr>
      </w:pPr>
      <w:r>
        <w:rPr>
          <w:i w:val="0"/>
          <w:sz w:val="22"/>
          <w:szCs w:val="22"/>
        </w:rPr>
        <w:t>El citado D</w:t>
      </w:r>
      <w:r w:rsidR="006B30CA">
        <w:rPr>
          <w:i w:val="0"/>
          <w:sz w:val="22"/>
          <w:szCs w:val="22"/>
        </w:rPr>
        <w:t>ecreto facultó a esta Superintendencia para impartir instrucciones sobre el particular</w:t>
      </w:r>
      <w:r w:rsidR="00BD6464">
        <w:rPr>
          <w:i w:val="0"/>
          <w:sz w:val="22"/>
          <w:szCs w:val="22"/>
        </w:rPr>
        <w:t>,</w:t>
      </w:r>
      <w:r w:rsidR="006B30CA">
        <w:rPr>
          <w:i w:val="0"/>
          <w:sz w:val="22"/>
          <w:szCs w:val="22"/>
        </w:rPr>
        <w:t xml:space="preserve"> y en tal sentido, fue expedida la Circular Externa No. 11 de 25 de agosto de 2017.</w:t>
      </w:r>
    </w:p>
    <w:p w:rsidR="006B30CA" w:rsidRDefault="006B30CA" w:rsidP="006B30CA">
      <w:pPr>
        <w:jc w:val="both"/>
        <w:rPr>
          <w:i w:val="0"/>
          <w:iCs/>
          <w:sz w:val="22"/>
          <w:szCs w:val="22"/>
          <w:lang w:val="es-MX"/>
        </w:rPr>
      </w:pPr>
    </w:p>
    <w:p w:rsidR="009866B9" w:rsidRDefault="006B30CA" w:rsidP="006B30CA">
      <w:pPr>
        <w:jc w:val="both"/>
        <w:rPr>
          <w:i w:val="0"/>
          <w:iCs/>
          <w:sz w:val="22"/>
          <w:szCs w:val="22"/>
          <w:lang w:val="es-MX"/>
        </w:rPr>
      </w:pPr>
      <w:r>
        <w:rPr>
          <w:i w:val="0"/>
          <w:iCs/>
          <w:sz w:val="22"/>
          <w:szCs w:val="22"/>
          <w:lang w:val="es-MX"/>
        </w:rPr>
        <w:t>De igual forma, la norma prevé reglas sobre niveles adecuados de patrimonio e indicador de solidez</w:t>
      </w:r>
      <w:r w:rsidR="00BD6464">
        <w:rPr>
          <w:i w:val="0"/>
          <w:iCs/>
          <w:sz w:val="22"/>
          <w:szCs w:val="22"/>
          <w:lang w:val="es-MX"/>
        </w:rPr>
        <w:t>,</w:t>
      </w:r>
      <w:r>
        <w:rPr>
          <w:i w:val="0"/>
          <w:iCs/>
          <w:sz w:val="22"/>
          <w:szCs w:val="22"/>
          <w:lang w:val="es-MX"/>
        </w:rPr>
        <w:t xml:space="preserve"> que deben cumplir los fondos de empleados de categoría plena</w:t>
      </w:r>
      <w:r w:rsidR="00BD6464">
        <w:rPr>
          <w:i w:val="0"/>
          <w:iCs/>
          <w:sz w:val="22"/>
          <w:szCs w:val="22"/>
          <w:lang w:val="es-MX"/>
        </w:rPr>
        <w:t>,</w:t>
      </w:r>
      <w:r>
        <w:rPr>
          <w:i w:val="0"/>
          <w:iCs/>
          <w:sz w:val="22"/>
          <w:szCs w:val="22"/>
          <w:lang w:val="es-MX"/>
        </w:rPr>
        <w:t xml:space="preserve"> con el fin</w:t>
      </w:r>
      <w:r w:rsidR="00BD6464">
        <w:rPr>
          <w:i w:val="0"/>
          <w:iCs/>
          <w:sz w:val="22"/>
          <w:szCs w:val="22"/>
          <w:lang w:val="es-MX"/>
        </w:rPr>
        <w:t>,</w:t>
      </w:r>
      <w:r>
        <w:rPr>
          <w:i w:val="0"/>
          <w:iCs/>
          <w:sz w:val="22"/>
          <w:szCs w:val="22"/>
          <w:lang w:val="es-MX"/>
        </w:rPr>
        <w:t xml:space="preserve"> de proteger la confianza del público en el sector y asegurar su desarrollo en condiciones de seguridad y competitividad</w:t>
      </w:r>
      <w:r w:rsidR="009866B9">
        <w:rPr>
          <w:i w:val="0"/>
          <w:iCs/>
          <w:sz w:val="22"/>
          <w:szCs w:val="22"/>
          <w:lang w:val="es-MX"/>
        </w:rPr>
        <w:t>.</w:t>
      </w:r>
    </w:p>
    <w:p w:rsidR="00231877" w:rsidRDefault="00231877" w:rsidP="006B30CA">
      <w:pPr>
        <w:jc w:val="both"/>
        <w:rPr>
          <w:i w:val="0"/>
          <w:iCs/>
          <w:sz w:val="22"/>
          <w:szCs w:val="22"/>
          <w:lang w:val="es-MX"/>
        </w:rPr>
      </w:pPr>
    </w:p>
    <w:p w:rsidR="00231877" w:rsidRPr="00231877" w:rsidRDefault="00231877" w:rsidP="00231877">
      <w:pPr>
        <w:jc w:val="both"/>
        <w:rPr>
          <w:i w:val="0"/>
          <w:sz w:val="22"/>
          <w:szCs w:val="22"/>
        </w:rPr>
      </w:pPr>
      <w:r>
        <w:rPr>
          <w:i w:val="0"/>
          <w:sz w:val="22"/>
          <w:szCs w:val="22"/>
        </w:rPr>
        <w:lastRenderedPageBreak/>
        <w:t>El patrimonio adecuado de los fondos de empleados de categoría plena</w:t>
      </w:r>
      <w:r w:rsidR="00BD6464">
        <w:rPr>
          <w:i w:val="0"/>
          <w:sz w:val="22"/>
          <w:szCs w:val="22"/>
        </w:rPr>
        <w:t>,</w:t>
      </w:r>
      <w:r>
        <w:rPr>
          <w:i w:val="0"/>
          <w:sz w:val="22"/>
          <w:szCs w:val="22"/>
        </w:rPr>
        <w:t xml:space="preserve"> </w:t>
      </w:r>
      <w:r w:rsidRPr="00231877">
        <w:rPr>
          <w:i w:val="0"/>
          <w:sz w:val="22"/>
          <w:szCs w:val="22"/>
        </w:rPr>
        <w:t>sujet</w:t>
      </w:r>
      <w:r>
        <w:rPr>
          <w:i w:val="0"/>
          <w:sz w:val="22"/>
          <w:szCs w:val="22"/>
        </w:rPr>
        <w:t>os a</w:t>
      </w:r>
      <w:r w:rsidRPr="00231877">
        <w:rPr>
          <w:i w:val="0"/>
          <w:sz w:val="22"/>
          <w:szCs w:val="22"/>
        </w:rPr>
        <w:t>l cumplimiento de</w:t>
      </w:r>
      <w:r>
        <w:rPr>
          <w:i w:val="0"/>
          <w:sz w:val="22"/>
          <w:szCs w:val="22"/>
        </w:rPr>
        <w:t>l Decreto 344 de 2017</w:t>
      </w:r>
      <w:r w:rsidR="004A2666">
        <w:rPr>
          <w:i w:val="0"/>
          <w:sz w:val="22"/>
          <w:szCs w:val="22"/>
        </w:rPr>
        <w:t>,</w:t>
      </w:r>
      <w:r>
        <w:rPr>
          <w:i w:val="0"/>
          <w:sz w:val="22"/>
          <w:szCs w:val="22"/>
        </w:rPr>
        <w:t xml:space="preserve"> </w:t>
      </w:r>
      <w:r w:rsidRPr="00231877">
        <w:rPr>
          <w:i w:val="0"/>
          <w:sz w:val="22"/>
          <w:szCs w:val="22"/>
        </w:rPr>
        <w:t>corresponde al patrimonio técnico mínimo que deben mantener y ac</w:t>
      </w:r>
      <w:r>
        <w:rPr>
          <w:i w:val="0"/>
          <w:sz w:val="22"/>
          <w:szCs w:val="22"/>
        </w:rPr>
        <w:t>reditar para dar cumplimiento al indicador de solidez</w:t>
      </w:r>
      <w:r w:rsidR="004A2666">
        <w:rPr>
          <w:i w:val="0"/>
          <w:sz w:val="22"/>
          <w:szCs w:val="22"/>
        </w:rPr>
        <w:t>,</w:t>
      </w:r>
      <w:r>
        <w:rPr>
          <w:i w:val="0"/>
          <w:sz w:val="22"/>
          <w:szCs w:val="22"/>
        </w:rPr>
        <w:t xml:space="preserve"> </w:t>
      </w:r>
      <w:r w:rsidRPr="00231877">
        <w:rPr>
          <w:i w:val="0"/>
          <w:sz w:val="22"/>
          <w:szCs w:val="22"/>
        </w:rPr>
        <w:t>que se indica a continuación.</w:t>
      </w:r>
    </w:p>
    <w:p w:rsidR="00231877" w:rsidRDefault="00231877" w:rsidP="00231877">
      <w:pPr>
        <w:overflowPunct w:val="0"/>
        <w:autoSpaceDE w:val="0"/>
        <w:autoSpaceDN w:val="0"/>
        <w:adjustRightInd w:val="0"/>
        <w:jc w:val="both"/>
        <w:rPr>
          <w:i w:val="0"/>
          <w:sz w:val="22"/>
          <w:szCs w:val="22"/>
        </w:rPr>
      </w:pPr>
    </w:p>
    <w:p w:rsidR="00EE0AC0" w:rsidRPr="00231877" w:rsidRDefault="00EE0AC0" w:rsidP="00231877">
      <w:pPr>
        <w:overflowPunct w:val="0"/>
        <w:autoSpaceDE w:val="0"/>
        <w:autoSpaceDN w:val="0"/>
        <w:adjustRightInd w:val="0"/>
        <w:jc w:val="both"/>
        <w:rPr>
          <w:i w:val="0"/>
          <w:sz w:val="22"/>
          <w:szCs w:val="22"/>
        </w:rPr>
      </w:pPr>
    </w:p>
    <w:p w:rsidR="00231877" w:rsidRDefault="00231877" w:rsidP="00231877">
      <w:pPr>
        <w:suppressAutoHyphens w:val="0"/>
        <w:jc w:val="both"/>
        <w:outlineLvl w:val="2"/>
        <w:rPr>
          <w:b/>
          <w:i w:val="0"/>
          <w:sz w:val="22"/>
          <w:szCs w:val="22"/>
        </w:rPr>
      </w:pPr>
      <w:bookmarkStart w:id="0" w:name="_Toc207673886"/>
      <w:r>
        <w:rPr>
          <w:b/>
          <w:i w:val="0"/>
          <w:sz w:val="22"/>
          <w:szCs w:val="22"/>
        </w:rPr>
        <w:t>I</w:t>
      </w:r>
      <w:r w:rsidR="008B19DB">
        <w:rPr>
          <w:b/>
          <w:i w:val="0"/>
          <w:sz w:val="22"/>
          <w:szCs w:val="22"/>
        </w:rPr>
        <w:t xml:space="preserve">NDICADOR DE SOLIDEZ </w:t>
      </w:r>
      <w:r>
        <w:rPr>
          <w:b/>
          <w:i w:val="0"/>
          <w:sz w:val="22"/>
          <w:szCs w:val="22"/>
        </w:rPr>
        <w:t xml:space="preserve"> </w:t>
      </w:r>
    </w:p>
    <w:bookmarkEnd w:id="0"/>
    <w:p w:rsidR="00231877" w:rsidRPr="00231877" w:rsidRDefault="00231877" w:rsidP="00231877">
      <w:pPr>
        <w:overflowPunct w:val="0"/>
        <w:autoSpaceDE w:val="0"/>
        <w:autoSpaceDN w:val="0"/>
        <w:adjustRightInd w:val="0"/>
        <w:jc w:val="both"/>
        <w:rPr>
          <w:i w:val="0"/>
          <w:sz w:val="22"/>
          <w:szCs w:val="22"/>
        </w:rPr>
      </w:pPr>
    </w:p>
    <w:p w:rsidR="00231877" w:rsidRPr="00AB7D4E" w:rsidRDefault="00231877" w:rsidP="00231877">
      <w:pPr>
        <w:jc w:val="both"/>
        <w:rPr>
          <w:i w:val="0"/>
          <w:sz w:val="22"/>
          <w:szCs w:val="22"/>
        </w:rPr>
      </w:pPr>
      <w:r w:rsidRPr="00231877">
        <w:rPr>
          <w:i w:val="0"/>
          <w:sz w:val="22"/>
          <w:szCs w:val="22"/>
        </w:rPr>
        <w:t>El cumplimiento de</w:t>
      </w:r>
      <w:r>
        <w:rPr>
          <w:i w:val="0"/>
          <w:sz w:val="22"/>
          <w:szCs w:val="22"/>
        </w:rPr>
        <w:t>l indicador de solidez</w:t>
      </w:r>
      <w:r w:rsidR="004A2666">
        <w:rPr>
          <w:i w:val="0"/>
          <w:sz w:val="22"/>
          <w:szCs w:val="22"/>
        </w:rPr>
        <w:t>,</w:t>
      </w:r>
      <w:r>
        <w:rPr>
          <w:i w:val="0"/>
          <w:sz w:val="22"/>
          <w:szCs w:val="22"/>
        </w:rPr>
        <w:t xml:space="preserve"> </w:t>
      </w:r>
      <w:r w:rsidRPr="00231877">
        <w:rPr>
          <w:i w:val="0"/>
          <w:sz w:val="22"/>
          <w:szCs w:val="22"/>
        </w:rPr>
        <w:t>consiste en manten</w:t>
      </w:r>
      <w:r w:rsidR="004A2666">
        <w:rPr>
          <w:i w:val="0"/>
          <w:sz w:val="22"/>
          <w:szCs w:val="22"/>
        </w:rPr>
        <w:t>er</w:t>
      </w:r>
      <w:r w:rsidRPr="00231877">
        <w:rPr>
          <w:i w:val="0"/>
          <w:sz w:val="22"/>
          <w:szCs w:val="22"/>
        </w:rPr>
        <w:t xml:space="preserve"> un mínimo de patrimonio adecuado que resulta de dividir el patrimonio técnico entre el </w:t>
      </w:r>
      <w:r w:rsidR="004A2666">
        <w:rPr>
          <w:i w:val="0"/>
          <w:sz w:val="22"/>
          <w:szCs w:val="22"/>
        </w:rPr>
        <w:t xml:space="preserve">valor </w:t>
      </w:r>
      <w:r w:rsidRPr="00231877">
        <w:rPr>
          <w:i w:val="0"/>
          <w:sz w:val="22"/>
          <w:szCs w:val="22"/>
        </w:rPr>
        <w:t xml:space="preserve">total de activos </w:t>
      </w:r>
      <w:r w:rsidRPr="00AB7D4E">
        <w:rPr>
          <w:i w:val="0"/>
          <w:sz w:val="22"/>
          <w:szCs w:val="22"/>
        </w:rPr>
        <w:t>ponderados por nivel de riesgo, expresado en términos porcentuales.</w:t>
      </w:r>
    </w:p>
    <w:p w:rsidR="00231877" w:rsidRPr="00AB7D4E" w:rsidRDefault="00231877" w:rsidP="00231877">
      <w:pPr>
        <w:jc w:val="both"/>
        <w:rPr>
          <w:i w:val="0"/>
          <w:sz w:val="22"/>
          <w:szCs w:val="22"/>
        </w:rPr>
      </w:pPr>
    </w:p>
    <w:p w:rsidR="00231877" w:rsidRPr="00AB7D4E" w:rsidRDefault="00231877" w:rsidP="00231877">
      <w:pPr>
        <w:jc w:val="both"/>
        <w:rPr>
          <w:i w:val="0"/>
          <w:sz w:val="22"/>
          <w:szCs w:val="22"/>
        </w:rPr>
      </w:pPr>
      <w:r w:rsidRPr="00AB7D4E">
        <w:rPr>
          <w:i w:val="0"/>
          <w:sz w:val="22"/>
          <w:szCs w:val="22"/>
        </w:rPr>
        <w:t>El indicador de solidez mínimo de los Fondos de Empleados de Categoría</w:t>
      </w:r>
      <w:r w:rsidR="004A2666">
        <w:rPr>
          <w:i w:val="0"/>
          <w:sz w:val="22"/>
          <w:szCs w:val="22"/>
        </w:rPr>
        <w:t>,</w:t>
      </w:r>
      <w:r w:rsidRPr="00AB7D4E">
        <w:rPr>
          <w:i w:val="0"/>
          <w:sz w:val="22"/>
          <w:szCs w:val="22"/>
        </w:rPr>
        <w:t xml:space="preserve"> Plena será del nueve por ciento (9%)</w:t>
      </w:r>
      <w:r w:rsidRPr="00AB7D4E">
        <w:rPr>
          <w:rStyle w:val="Refdenotaalpie"/>
          <w:bCs/>
          <w:i w:val="0"/>
          <w:sz w:val="20"/>
          <w:szCs w:val="20"/>
        </w:rPr>
        <w:footnoteReference w:id="1"/>
      </w:r>
      <w:r w:rsidRPr="00AB7D4E">
        <w:rPr>
          <w:i w:val="0"/>
          <w:sz w:val="22"/>
          <w:szCs w:val="22"/>
        </w:rPr>
        <w:t xml:space="preserve">. </w:t>
      </w:r>
    </w:p>
    <w:p w:rsidR="00231877" w:rsidRPr="00AB7D4E" w:rsidRDefault="00231877" w:rsidP="00231877">
      <w:pPr>
        <w:jc w:val="both"/>
        <w:rPr>
          <w:i w:val="0"/>
          <w:sz w:val="22"/>
          <w:szCs w:val="22"/>
        </w:rPr>
      </w:pPr>
    </w:p>
    <w:p w:rsidR="00AB7D4E" w:rsidRPr="00AB7D4E" w:rsidRDefault="00AB7D4E" w:rsidP="00AB7D4E">
      <w:pPr>
        <w:jc w:val="both"/>
        <w:rPr>
          <w:i w:val="0"/>
          <w:sz w:val="22"/>
          <w:szCs w:val="22"/>
        </w:rPr>
      </w:pPr>
      <w:r>
        <w:rPr>
          <w:i w:val="0"/>
          <w:sz w:val="22"/>
          <w:szCs w:val="22"/>
        </w:rPr>
        <w:t>Para efectos de determinar el indicador de solidez</w:t>
      </w:r>
      <w:r w:rsidRPr="00AB7D4E">
        <w:rPr>
          <w:i w:val="0"/>
          <w:sz w:val="22"/>
          <w:szCs w:val="22"/>
        </w:rPr>
        <w:t>, a continuación</w:t>
      </w:r>
      <w:r>
        <w:rPr>
          <w:i w:val="0"/>
          <w:sz w:val="22"/>
          <w:szCs w:val="22"/>
        </w:rPr>
        <w:t>,</w:t>
      </w:r>
      <w:r w:rsidRPr="00AB7D4E">
        <w:rPr>
          <w:i w:val="0"/>
          <w:sz w:val="22"/>
          <w:szCs w:val="22"/>
        </w:rPr>
        <w:t xml:space="preserve"> se señalan los rubros</w:t>
      </w:r>
      <w:r w:rsidR="00897A68">
        <w:rPr>
          <w:i w:val="0"/>
          <w:sz w:val="22"/>
          <w:szCs w:val="22"/>
        </w:rPr>
        <w:t xml:space="preserve"> </w:t>
      </w:r>
      <w:r w:rsidRPr="00AB7D4E">
        <w:rPr>
          <w:i w:val="0"/>
          <w:sz w:val="22"/>
          <w:szCs w:val="22"/>
        </w:rPr>
        <w:t>que conforman el patrimonio técnico y la forma como deben ponderar los activos y contingencias de acuerdo con su nivel de riesgo.</w:t>
      </w:r>
    </w:p>
    <w:p w:rsidR="00AB7D4E" w:rsidRDefault="00AB7D4E" w:rsidP="00231877">
      <w:pPr>
        <w:jc w:val="both"/>
        <w:rPr>
          <w:i w:val="0"/>
          <w:sz w:val="22"/>
          <w:szCs w:val="22"/>
        </w:rPr>
      </w:pPr>
    </w:p>
    <w:p w:rsidR="00AB7D4E" w:rsidRPr="00AB7D4E" w:rsidRDefault="00AB7D4E" w:rsidP="000F39FB">
      <w:pPr>
        <w:pStyle w:val="Estilgt"/>
        <w:widowControl/>
        <w:numPr>
          <w:ilvl w:val="0"/>
          <w:numId w:val="8"/>
        </w:numPr>
        <w:suppressLineNumbers w:val="0"/>
        <w:suppressAutoHyphens w:val="0"/>
        <w:ind w:left="567" w:hanging="567"/>
        <w:outlineLvl w:val="2"/>
        <w:rPr>
          <w:rFonts w:cs="Arial"/>
          <w:caps w:val="0"/>
          <w:spacing w:val="0"/>
          <w:sz w:val="22"/>
          <w:szCs w:val="22"/>
          <w:lang w:val="es-ES"/>
        </w:rPr>
      </w:pPr>
      <w:r w:rsidRPr="00AB7D4E">
        <w:rPr>
          <w:rFonts w:cs="Arial"/>
          <w:caps w:val="0"/>
          <w:spacing w:val="0"/>
          <w:sz w:val="22"/>
          <w:szCs w:val="22"/>
          <w:lang w:val="es-ES"/>
        </w:rPr>
        <w:t>Determinación del Patrimonio Técnico</w:t>
      </w:r>
    </w:p>
    <w:p w:rsidR="00AB7D4E" w:rsidRPr="00AB7D4E" w:rsidRDefault="00AB7D4E" w:rsidP="00AB7D4E">
      <w:pPr>
        <w:ind w:left="1080"/>
        <w:jc w:val="both"/>
        <w:rPr>
          <w:i w:val="0"/>
          <w:sz w:val="22"/>
          <w:szCs w:val="22"/>
        </w:rPr>
      </w:pPr>
    </w:p>
    <w:p w:rsidR="00AB7D4E" w:rsidRPr="00AB7D4E" w:rsidRDefault="00AB7D4E" w:rsidP="00AB7D4E">
      <w:pPr>
        <w:jc w:val="both"/>
        <w:rPr>
          <w:i w:val="0"/>
          <w:sz w:val="22"/>
          <w:szCs w:val="22"/>
        </w:rPr>
      </w:pPr>
      <w:r w:rsidRPr="00AB7D4E">
        <w:rPr>
          <w:i w:val="0"/>
          <w:sz w:val="22"/>
          <w:szCs w:val="22"/>
        </w:rPr>
        <w:t xml:space="preserve">Conforme </w:t>
      </w:r>
      <w:r w:rsidR="004815F6">
        <w:rPr>
          <w:i w:val="0"/>
          <w:sz w:val="22"/>
          <w:szCs w:val="22"/>
        </w:rPr>
        <w:t>a</w:t>
      </w:r>
      <w:r w:rsidRPr="00AB7D4E">
        <w:rPr>
          <w:i w:val="0"/>
          <w:sz w:val="22"/>
          <w:szCs w:val="22"/>
        </w:rPr>
        <w:t xml:space="preserve"> lo establecido en el artículo </w:t>
      </w:r>
      <w:r>
        <w:rPr>
          <w:i w:val="0"/>
          <w:sz w:val="22"/>
          <w:szCs w:val="22"/>
        </w:rPr>
        <w:t>2.11.5.2.1.3</w:t>
      </w:r>
      <w:r w:rsidRPr="00AB7D4E">
        <w:rPr>
          <w:i w:val="0"/>
          <w:sz w:val="22"/>
          <w:szCs w:val="22"/>
        </w:rPr>
        <w:t xml:space="preserve"> del Decreto </w:t>
      </w:r>
      <w:r w:rsidR="004815F6">
        <w:rPr>
          <w:i w:val="0"/>
          <w:sz w:val="22"/>
          <w:szCs w:val="22"/>
        </w:rPr>
        <w:t xml:space="preserve">1068 de 2015 que fue adicionado por el artículo 1º del Decreto </w:t>
      </w:r>
      <w:r>
        <w:rPr>
          <w:i w:val="0"/>
          <w:sz w:val="22"/>
          <w:szCs w:val="22"/>
        </w:rPr>
        <w:t>344 de 2017</w:t>
      </w:r>
      <w:r w:rsidRPr="00AB7D4E">
        <w:rPr>
          <w:i w:val="0"/>
          <w:sz w:val="22"/>
          <w:szCs w:val="22"/>
        </w:rPr>
        <w:t>, el cálculo del patrimonio técnico de un</w:t>
      </w:r>
      <w:r>
        <w:rPr>
          <w:i w:val="0"/>
          <w:sz w:val="22"/>
          <w:szCs w:val="22"/>
        </w:rPr>
        <w:t xml:space="preserve"> fondo de empleados de categoría plena</w:t>
      </w:r>
      <w:r w:rsidR="00BD6464">
        <w:rPr>
          <w:i w:val="0"/>
          <w:sz w:val="22"/>
          <w:szCs w:val="22"/>
        </w:rPr>
        <w:t>,</w:t>
      </w:r>
      <w:r>
        <w:rPr>
          <w:i w:val="0"/>
          <w:sz w:val="22"/>
          <w:szCs w:val="22"/>
        </w:rPr>
        <w:t xml:space="preserve"> </w:t>
      </w:r>
      <w:r w:rsidRPr="00AB7D4E">
        <w:rPr>
          <w:i w:val="0"/>
          <w:sz w:val="22"/>
          <w:szCs w:val="22"/>
        </w:rPr>
        <w:t>se hará sumando los componentes del patrimonio básico, menos las deducciones, más el patrimonio adicional. El patrimonio adicional no podrá exceder del ciento por ciento (100%) del patrimonio básico incluyendo las deducciones.</w:t>
      </w:r>
      <w:r w:rsidR="00897A68">
        <w:rPr>
          <w:i w:val="0"/>
          <w:sz w:val="22"/>
          <w:szCs w:val="22"/>
        </w:rPr>
        <w:t xml:space="preserve">    </w:t>
      </w:r>
    </w:p>
    <w:p w:rsidR="00AB7D4E" w:rsidRPr="00AB7D4E" w:rsidRDefault="00AB7D4E" w:rsidP="00AB7D4E">
      <w:pPr>
        <w:jc w:val="both"/>
        <w:rPr>
          <w:i w:val="0"/>
          <w:sz w:val="22"/>
          <w:szCs w:val="22"/>
        </w:rPr>
      </w:pPr>
      <w:r w:rsidRPr="00AB7D4E">
        <w:rPr>
          <w:i w:val="0"/>
          <w:sz w:val="22"/>
          <w:szCs w:val="22"/>
        </w:rPr>
        <w:t> </w:t>
      </w:r>
    </w:p>
    <w:p w:rsidR="00AB7D4E" w:rsidRDefault="00AB7D4E" w:rsidP="00AB7D4E">
      <w:pPr>
        <w:jc w:val="both"/>
        <w:rPr>
          <w:i w:val="0"/>
          <w:sz w:val="22"/>
          <w:szCs w:val="22"/>
        </w:rPr>
      </w:pPr>
      <w:r w:rsidRPr="00AB7D4E">
        <w:rPr>
          <w:i w:val="0"/>
          <w:sz w:val="22"/>
          <w:szCs w:val="22"/>
        </w:rPr>
        <w:t>El cálculo se realizará atendiendo los siguientes conceptos:</w:t>
      </w:r>
    </w:p>
    <w:p w:rsidR="00AB7D4E" w:rsidRDefault="00AB7D4E" w:rsidP="00231877">
      <w:pPr>
        <w:jc w:val="both"/>
        <w:rPr>
          <w:i w:val="0"/>
          <w:sz w:val="22"/>
          <w:szCs w:val="22"/>
        </w:rPr>
      </w:pPr>
    </w:p>
    <w:p w:rsidR="00735C26" w:rsidRPr="000F39FB" w:rsidRDefault="00735C26" w:rsidP="000F39FB">
      <w:pPr>
        <w:pStyle w:val="Prrafodelista"/>
        <w:numPr>
          <w:ilvl w:val="1"/>
          <w:numId w:val="8"/>
        </w:numPr>
        <w:ind w:left="567" w:hanging="567"/>
        <w:jc w:val="both"/>
        <w:outlineLvl w:val="3"/>
        <w:rPr>
          <w:b/>
          <w:i w:val="0"/>
          <w:sz w:val="22"/>
          <w:szCs w:val="22"/>
        </w:rPr>
      </w:pPr>
      <w:r w:rsidRPr="000F39FB">
        <w:rPr>
          <w:b/>
          <w:i w:val="0"/>
          <w:sz w:val="22"/>
          <w:szCs w:val="22"/>
        </w:rPr>
        <w:t>Patrimonio básico</w:t>
      </w:r>
    </w:p>
    <w:p w:rsidR="00735C26" w:rsidRPr="00DF6526" w:rsidRDefault="00735C26" w:rsidP="00735C26">
      <w:pPr>
        <w:jc w:val="both"/>
        <w:rPr>
          <w:sz w:val="22"/>
          <w:szCs w:val="22"/>
        </w:rPr>
      </w:pPr>
      <w:r w:rsidRPr="00DF6526">
        <w:rPr>
          <w:sz w:val="22"/>
          <w:szCs w:val="22"/>
        </w:rPr>
        <w:t> </w:t>
      </w:r>
    </w:p>
    <w:p w:rsidR="00735C26" w:rsidRDefault="00735C26" w:rsidP="00735C26">
      <w:pPr>
        <w:jc w:val="both"/>
        <w:rPr>
          <w:i w:val="0"/>
          <w:sz w:val="22"/>
          <w:szCs w:val="22"/>
        </w:rPr>
      </w:pPr>
      <w:r w:rsidRPr="00735C26">
        <w:rPr>
          <w:i w:val="0"/>
          <w:sz w:val="22"/>
          <w:szCs w:val="22"/>
        </w:rPr>
        <w:t xml:space="preserve">Los rubros patrimoniales y sus proporciones computables en la determinación del patrimonio básico, según el </w:t>
      </w:r>
      <w:r>
        <w:rPr>
          <w:i w:val="0"/>
          <w:sz w:val="22"/>
          <w:szCs w:val="22"/>
        </w:rPr>
        <w:t>CUC</w:t>
      </w:r>
      <w:r w:rsidRPr="00AB7D4E">
        <w:rPr>
          <w:rStyle w:val="Refdenotaalpie"/>
          <w:bCs/>
          <w:i w:val="0"/>
          <w:sz w:val="20"/>
          <w:szCs w:val="20"/>
        </w:rPr>
        <w:footnoteReference w:id="2"/>
      </w:r>
      <w:r>
        <w:rPr>
          <w:i w:val="0"/>
          <w:sz w:val="22"/>
          <w:szCs w:val="22"/>
        </w:rPr>
        <w:t>,</w:t>
      </w:r>
      <w:r w:rsidRPr="00735C26">
        <w:rPr>
          <w:i w:val="0"/>
          <w:sz w:val="22"/>
          <w:szCs w:val="22"/>
        </w:rPr>
        <w:t xml:space="preserve"> son los que se relacionan a continuación:</w:t>
      </w:r>
    </w:p>
    <w:p w:rsidR="00385557" w:rsidRDefault="00385557" w:rsidP="00735C26">
      <w:pPr>
        <w:jc w:val="both"/>
        <w:rPr>
          <w:i w:val="0"/>
          <w:sz w:val="22"/>
          <w:szCs w:val="22"/>
        </w:rPr>
      </w:pPr>
    </w:p>
    <w:p w:rsidR="00B7382B" w:rsidRDefault="00B7382B" w:rsidP="00735C26">
      <w:pPr>
        <w:jc w:val="both"/>
        <w:rPr>
          <w:i w:val="0"/>
          <w:sz w:val="22"/>
          <w:szCs w:val="22"/>
        </w:rPr>
      </w:pPr>
    </w:p>
    <w:tbl>
      <w:tblPr>
        <w:tblW w:w="7640" w:type="dxa"/>
        <w:tblInd w:w="846" w:type="dxa"/>
        <w:tblCellMar>
          <w:left w:w="70" w:type="dxa"/>
          <w:right w:w="70" w:type="dxa"/>
        </w:tblCellMar>
        <w:tblLook w:val="04A0" w:firstRow="1" w:lastRow="0" w:firstColumn="1" w:lastColumn="0" w:noHBand="0" w:noVBand="1"/>
      </w:tblPr>
      <w:tblGrid>
        <w:gridCol w:w="920"/>
        <w:gridCol w:w="5300"/>
        <w:gridCol w:w="1420"/>
      </w:tblGrid>
      <w:tr w:rsidR="00B7382B" w:rsidRPr="00B7382B" w:rsidTr="00B7382B">
        <w:trPr>
          <w:trHeight w:val="300"/>
          <w:tblHead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82B" w:rsidRPr="00B7382B" w:rsidRDefault="00B7382B" w:rsidP="00B7382B">
            <w:pPr>
              <w:suppressAutoHyphens w:val="0"/>
              <w:rPr>
                <w:rFonts w:ascii="Calibri" w:hAnsi="Calibri" w:cs="Calibri"/>
                <w:b/>
                <w:bCs/>
                <w:i w:val="0"/>
                <w:color w:val="000000"/>
                <w:sz w:val="22"/>
                <w:szCs w:val="22"/>
                <w:lang w:eastAsia="es-CO"/>
              </w:rPr>
            </w:pPr>
            <w:r w:rsidRPr="00B7382B">
              <w:rPr>
                <w:rFonts w:ascii="Calibri" w:hAnsi="Calibri" w:cs="Calibri"/>
                <w:b/>
                <w:bCs/>
                <w:i w:val="0"/>
                <w:color w:val="000000"/>
                <w:sz w:val="22"/>
                <w:szCs w:val="22"/>
                <w:lang w:eastAsia="es-CO"/>
              </w:rPr>
              <w:t>CODIGO</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rsidR="00B7382B" w:rsidRPr="00B7382B" w:rsidRDefault="00B7382B" w:rsidP="00B7382B">
            <w:pPr>
              <w:suppressAutoHyphens w:val="0"/>
              <w:jc w:val="center"/>
              <w:rPr>
                <w:rFonts w:ascii="Calibri" w:hAnsi="Calibri" w:cs="Calibri"/>
                <w:b/>
                <w:bCs/>
                <w:i w:val="0"/>
                <w:color w:val="000000"/>
                <w:sz w:val="22"/>
                <w:szCs w:val="22"/>
                <w:lang w:eastAsia="es-CO"/>
              </w:rPr>
            </w:pPr>
            <w:r w:rsidRPr="00B7382B">
              <w:rPr>
                <w:rFonts w:ascii="Calibri" w:hAnsi="Calibri" w:cs="Calibri"/>
                <w:b/>
                <w:bCs/>
                <w:i w:val="0"/>
                <w:color w:val="000000"/>
                <w:sz w:val="22"/>
                <w:szCs w:val="22"/>
                <w:lang w:eastAsia="es-CO"/>
              </w:rPr>
              <w:t>DENOMINACION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B7382B" w:rsidRPr="00B7382B" w:rsidRDefault="00B7382B" w:rsidP="00B7382B">
            <w:pPr>
              <w:suppressAutoHyphens w:val="0"/>
              <w:rPr>
                <w:rFonts w:ascii="Calibri" w:hAnsi="Calibri" w:cs="Calibri"/>
                <w:b/>
                <w:bCs/>
                <w:i w:val="0"/>
                <w:color w:val="000000"/>
                <w:sz w:val="22"/>
                <w:szCs w:val="22"/>
                <w:lang w:eastAsia="es-CO"/>
              </w:rPr>
            </w:pPr>
            <w:r w:rsidRPr="00B7382B">
              <w:rPr>
                <w:rFonts w:ascii="Calibri" w:hAnsi="Calibri" w:cs="Calibri"/>
                <w:b/>
                <w:bCs/>
                <w:i w:val="0"/>
                <w:color w:val="000000"/>
                <w:sz w:val="22"/>
                <w:szCs w:val="22"/>
                <w:lang w:eastAsia="es-CO"/>
              </w:rPr>
              <w:t>PROPORCION</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000000" w:fill="D9D9D9"/>
            <w:noWrap/>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3110</w:t>
            </w:r>
          </w:p>
        </w:tc>
        <w:tc>
          <w:tcPr>
            <w:tcW w:w="5300" w:type="dxa"/>
            <w:tcBorders>
              <w:top w:val="nil"/>
              <w:left w:val="nil"/>
              <w:bottom w:val="single" w:sz="4" w:space="0" w:color="auto"/>
              <w:right w:val="single" w:sz="4" w:space="0" w:color="auto"/>
            </w:tcBorders>
            <w:shd w:val="clear" w:color="000000" w:fill="D9D9D9"/>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APORTES SOCIALES MINIMOS  NO REDUCIBLES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rPr>
                <w:rFonts w:asciiTheme="minorHAnsi" w:hAnsiTheme="minorHAnsi" w:cstheme="minorHAnsi"/>
                <w:i w:val="0"/>
                <w:color w:val="000000"/>
                <w:sz w:val="20"/>
                <w:szCs w:val="20"/>
                <w:lang w:eastAsia="es-CO"/>
              </w:rPr>
            </w:pP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311005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ORDINARIOS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311010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AMORTIZADOS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000000" w:fill="D9D9D9"/>
            <w:noWrap/>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3115</w:t>
            </w:r>
          </w:p>
        </w:tc>
        <w:tc>
          <w:tcPr>
            <w:tcW w:w="5300" w:type="dxa"/>
            <w:tcBorders>
              <w:top w:val="nil"/>
              <w:left w:val="nil"/>
              <w:bottom w:val="single" w:sz="4" w:space="0" w:color="auto"/>
              <w:right w:val="single" w:sz="4" w:space="0" w:color="auto"/>
            </w:tcBorders>
            <w:shd w:val="clear" w:color="000000" w:fill="D9D9D9"/>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FONDO SOCIAL MUTUAL</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311505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CUOTAS O CONTRIBUCIONES SOCIALES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311510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RESULTADO SOCIAL POSITIVO</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000000" w:fill="D9D9D9"/>
            <w:noWrap/>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3200</w:t>
            </w:r>
          </w:p>
        </w:tc>
        <w:tc>
          <w:tcPr>
            <w:tcW w:w="5300" w:type="dxa"/>
            <w:tcBorders>
              <w:top w:val="nil"/>
              <w:left w:val="nil"/>
              <w:bottom w:val="single" w:sz="4" w:space="0" w:color="auto"/>
              <w:right w:val="single" w:sz="4" w:space="0" w:color="auto"/>
            </w:tcBorders>
            <w:shd w:val="clear" w:color="000000" w:fill="D9D9D9"/>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RESERVAS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3205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PROTECCIÓN DE APORTES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3210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DE INVERSIÓN SOCIAL</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3215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DE ASAMBLEA</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3220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PROTECCIÓN CARTERA</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3225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RESERVAS ESTATUTARIAS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3230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PROTECCIÓN FONDO MUTUAL</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3235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RESERVA POR DISPOSICIONES FISCALES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3280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OTRAS RESERVAS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000000" w:fill="D9D9D9"/>
            <w:noWrap/>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3300</w:t>
            </w:r>
          </w:p>
        </w:tc>
        <w:tc>
          <w:tcPr>
            <w:tcW w:w="5300" w:type="dxa"/>
            <w:tcBorders>
              <w:top w:val="nil"/>
              <w:left w:val="nil"/>
              <w:bottom w:val="single" w:sz="4" w:space="0" w:color="auto"/>
              <w:right w:val="single" w:sz="4" w:space="0" w:color="auto"/>
            </w:tcBorders>
            <w:shd w:val="clear" w:color="000000" w:fill="D9D9D9"/>
            <w:hideMark/>
          </w:tcPr>
          <w:p w:rsidR="00B7382B" w:rsidRPr="008B19DB" w:rsidRDefault="00B7382B" w:rsidP="00B7382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FONDOS  DE DESTINACIÓN ESPECÍFICA</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3305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PARA AMORTIZACION DE APORTES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3310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PARA REVALORIZACION DE APORTES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3320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PARA INFRAESTRUCTURA FISICA</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3325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ESPECIAL</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3330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SOCIALES CAPITALIZADOS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3335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DE INVERSION</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3340</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DESARROLLO EMPRESARIAL SOLIDARIO</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397371" w:rsidP="00B7382B">
            <w:pPr>
              <w:suppressAutoHyphens w:val="0"/>
              <w:jc w:val="center"/>
              <w:rPr>
                <w:rFonts w:asciiTheme="minorHAnsi" w:hAnsiTheme="minorHAnsi" w:cstheme="minorHAnsi"/>
                <w:i w:val="0"/>
                <w:color w:val="000000"/>
                <w:sz w:val="20"/>
                <w:szCs w:val="20"/>
                <w:lang w:eastAsia="es-CO"/>
              </w:rPr>
            </w:pPr>
            <w:r>
              <w:rPr>
                <w:rFonts w:asciiTheme="minorHAnsi" w:hAnsiTheme="minorHAnsi" w:cstheme="minorHAnsi"/>
                <w:i w:val="0"/>
                <w:color w:val="000000"/>
                <w:sz w:val="20"/>
                <w:szCs w:val="20"/>
                <w:lang w:eastAsia="es-CO"/>
              </w:rPr>
              <w:t>0</w:t>
            </w:r>
            <w:r w:rsidR="00B7382B" w:rsidRPr="008B19DB">
              <w:rPr>
                <w:rFonts w:asciiTheme="minorHAnsi" w:hAnsiTheme="minorHAnsi" w:cstheme="minorHAnsi"/>
                <w:i w:val="0"/>
                <w:color w:val="000000"/>
                <w:sz w:val="20"/>
                <w:szCs w:val="20"/>
                <w:lang w:eastAsia="es-CO"/>
              </w:rPr>
              <w:t>%</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3395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FONDOS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B7382B" w:rsidRPr="00B7382B" w:rsidTr="00B7382B">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3405</w:t>
            </w:r>
          </w:p>
        </w:tc>
        <w:tc>
          <w:tcPr>
            <w:tcW w:w="5300" w:type="dxa"/>
            <w:tcBorders>
              <w:top w:val="nil"/>
              <w:left w:val="nil"/>
              <w:bottom w:val="single" w:sz="4" w:space="0" w:color="auto"/>
              <w:right w:val="single" w:sz="4" w:space="0" w:color="auto"/>
            </w:tcBorders>
            <w:shd w:val="clear" w:color="auto" w:fill="auto"/>
            <w:hideMark/>
          </w:tcPr>
          <w:p w:rsidR="00B7382B" w:rsidRPr="008B19DB" w:rsidRDefault="00B7382B" w:rsidP="00B7382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DONACIONES Y AUXILIOS</w:t>
            </w:r>
          </w:p>
        </w:tc>
        <w:tc>
          <w:tcPr>
            <w:tcW w:w="1420" w:type="dxa"/>
            <w:tcBorders>
              <w:top w:val="nil"/>
              <w:left w:val="nil"/>
              <w:bottom w:val="single" w:sz="4" w:space="0" w:color="auto"/>
              <w:right w:val="single" w:sz="4" w:space="0" w:color="auto"/>
            </w:tcBorders>
            <w:shd w:val="clear" w:color="auto" w:fill="auto"/>
            <w:noWrap/>
            <w:vAlign w:val="bottom"/>
            <w:hideMark/>
          </w:tcPr>
          <w:p w:rsidR="00B7382B" w:rsidRPr="008B19DB" w:rsidRDefault="00B7382B" w:rsidP="00B7382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bl>
    <w:p w:rsidR="00DF7637" w:rsidRDefault="00DF7637" w:rsidP="00897A68">
      <w:pPr>
        <w:jc w:val="both"/>
        <w:outlineLvl w:val="3"/>
        <w:rPr>
          <w:b/>
          <w:i w:val="0"/>
          <w:sz w:val="22"/>
          <w:szCs w:val="22"/>
        </w:rPr>
      </w:pPr>
    </w:p>
    <w:p w:rsidR="00385557" w:rsidRDefault="00385557" w:rsidP="00897A68">
      <w:pPr>
        <w:jc w:val="both"/>
        <w:outlineLvl w:val="3"/>
        <w:rPr>
          <w:b/>
          <w:i w:val="0"/>
          <w:sz w:val="22"/>
          <w:szCs w:val="22"/>
        </w:rPr>
      </w:pPr>
    </w:p>
    <w:p w:rsidR="00897A68" w:rsidRPr="000F39FB" w:rsidRDefault="00897A68" w:rsidP="000F39FB">
      <w:pPr>
        <w:pStyle w:val="Prrafodelista"/>
        <w:numPr>
          <w:ilvl w:val="1"/>
          <w:numId w:val="8"/>
        </w:numPr>
        <w:ind w:left="567" w:hanging="567"/>
        <w:jc w:val="both"/>
        <w:outlineLvl w:val="3"/>
        <w:rPr>
          <w:b/>
          <w:i w:val="0"/>
          <w:sz w:val="22"/>
          <w:szCs w:val="22"/>
        </w:rPr>
      </w:pPr>
      <w:r w:rsidRPr="000F39FB">
        <w:rPr>
          <w:b/>
          <w:i w:val="0"/>
          <w:sz w:val="22"/>
          <w:szCs w:val="22"/>
        </w:rPr>
        <w:t>Deducciones del patrimonio básico</w:t>
      </w:r>
    </w:p>
    <w:p w:rsidR="00897A68" w:rsidRPr="00897A68" w:rsidRDefault="00897A68" w:rsidP="00897A68">
      <w:pPr>
        <w:jc w:val="both"/>
        <w:rPr>
          <w:i w:val="0"/>
          <w:sz w:val="22"/>
          <w:szCs w:val="22"/>
        </w:rPr>
      </w:pPr>
    </w:p>
    <w:p w:rsidR="00897A68" w:rsidRDefault="00897A68" w:rsidP="00897A68">
      <w:pPr>
        <w:jc w:val="both"/>
        <w:rPr>
          <w:i w:val="0"/>
          <w:sz w:val="22"/>
          <w:szCs w:val="22"/>
        </w:rPr>
      </w:pPr>
      <w:r w:rsidRPr="00897A68">
        <w:rPr>
          <w:i w:val="0"/>
          <w:sz w:val="22"/>
          <w:szCs w:val="22"/>
        </w:rPr>
        <w:t>A la sumatoria de los conceptos anteriores</w:t>
      </w:r>
      <w:r w:rsidR="00BD6464">
        <w:rPr>
          <w:i w:val="0"/>
          <w:sz w:val="22"/>
          <w:szCs w:val="22"/>
        </w:rPr>
        <w:t>,</w:t>
      </w:r>
      <w:r w:rsidRPr="00897A68">
        <w:rPr>
          <w:i w:val="0"/>
          <w:sz w:val="22"/>
          <w:szCs w:val="22"/>
        </w:rPr>
        <w:t xml:space="preserve"> se le restarán los rubros</w:t>
      </w:r>
      <w:r w:rsidR="00385557">
        <w:rPr>
          <w:i w:val="0"/>
          <w:sz w:val="22"/>
          <w:szCs w:val="22"/>
        </w:rPr>
        <w:t xml:space="preserve"> según el CUC</w:t>
      </w:r>
      <w:r w:rsidR="004A2666">
        <w:rPr>
          <w:i w:val="0"/>
          <w:sz w:val="22"/>
          <w:szCs w:val="22"/>
        </w:rPr>
        <w:t>,</w:t>
      </w:r>
      <w:r w:rsidR="00385557">
        <w:rPr>
          <w:i w:val="0"/>
          <w:sz w:val="22"/>
          <w:szCs w:val="22"/>
        </w:rPr>
        <w:t xml:space="preserve"> </w:t>
      </w:r>
      <w:r w:rsidRPr="00897A68">
        <w:rPr>
          <w:i w:val="0"/>
          <w:sz w:val="22"/>
          <w:szCs w:val="22"/>
        </w:rPr>
        <w:t>que a continuación se señalan para efectos de determinar el Patrimonio Básico.</w:t>
      </w:r>
    </w:p>
    <w:p w:rsidR="00935A94" w:rsidRPr="00897A68" w:rsidRDefault="00935A94" w:rsidP="00897A68">
      <w:pPr>
        <w:jc w:val="both"/>
        <w:rPr>
          <w:i w:val="0"/>
          <w:sz w:val="22"/>
          <w:szCs w:val="22"/>
        </w:rPr>
      </w:pPr>
    </w:p>
    <w:tbl>
      <w:tblPr>
        <w:tblW w:w="7720" w:type="dxa"/>
        <w:tblInd w:w="846" w:type="dxa"/>
        <w:tblCellMar>
          <w:left w:w="70" w:type="dxa"/>
          <w:right w:w="70" w:type="dxa"/>
        </w:tblCellMar>
        <w:tblLook w:val="04A0" w:firstRow="1" w:lastRow="0" w:firstColumn="1" w:lastColumn="0" w:noHBand="0" w:noVBand="1"/>
      </w:tblPr>
      <w:tblGrid>
        <w:gridCol w:w="920"/>
        <w:gridCol w:w="5380"/>
        <w:gridCol w:w="1420"/>
      </w:tblGrid>
      <w:tr w:rsidR="00935A94" w:rsidRPr="00935A94" w:rsidTr="00935A94">
        <w:trPr>
          <w:trHeight w:val="300"/>
          <w:tblHead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A94" w:rsidRPr="00935A94" w:rsidRDefault="00935A94" w:rsidP="00935A94">
            <w:pPr>
              <w:suppressAutoHyphens w:val="0"/>
              <w:rPr>
                <w:rFonts w:ascii="Calibri" w:hAnsi="Calibri" w:cs="Calibri"/>
                <w:b/>
                <w:bCs/>
                <w:i w:val="0"/>
                <w:color w:val="000000"/>
                <w:sz w:val="22"/>
                <w:szCs w:val="22"/>
                <w:lang w:eastAsia="es-CO"/>
              </w:rPr>
            </w:pPr>
            <w:r w:rsidRPr="00935A94">
              <w:rPr>
                <w:rFonts w:ascii="Calibri" w:hAnsi="Calibri" w:cs="Calibri"/>
                <w:b/>
                <w:bCs/>
                <w:i w:val="0"/>
                <w:color w:val="000000"/>
                <w:sz w:val="22"/>
                <w:szCs w:val="22"/>
                <w:lang w:eastAsia="es-CO"/>
              </w:rPr>
              <w:t xml:space="preserve">CODIGO </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rsidR="00935A94" w:rsidRPr="00935A94" w:rsidRDefault="00935A94" w:rsidP="00935A94">
            <w:pPr>
              <w:suppressAutoHyphens w:val="0"/>
              <w:jc w:val="center"/>
              <w:rPr>
                <w:rFonts w:ascii="Calibri" w:hAnsi="Calibri" w:cs="Calibri"/>
                <w:b/>
                <w:bCs/>
                <w:i w:val="0"/>
                <w:color w:val="000000"/>
                <w:sz w:val="22"/>
                <w:szCs w:val="22"/>
                <w:lang w:eastAsia="es-CO"/>
              </w:rPr>
            </w:pPr>
            <w:r w:rsidRPr="00935A94">
              <w:rPr>
                <w:rFonts w:ascii="Calibri" w:hAnsi="Calibri" w:cs="Calibri"/>
                <w:b/>
                <w:bCs/>
                <w:i w:val="0"/>
                <w:color w:val="000000"/>
                <w:sz w:val="22"/>
                <w:szCs w:val="22"/>
                <w:lang w:eastAsia="es-CO"/>
              </w:rPr>
              <w:t xml:space="preserve">DENOMINACION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935A94" w:rsidRPr="00935A94" w:rsidRDefault="00935A94" w:rsidP="00935A94">
            <w:pPr>
              <w:suppressAutoHyphens w:val="0"/>
              <w:jc w:val="center"/>
              <w:rPr>
                <w:rFonts w:ascii="Calibri" w:hAnsi="Calibri" w:cs="Calibri"/>
                <w:b/>
                <w:bCs/>
                <w:i w:val="0"/>
                <w:color w:val="000000"/>
                <w:sz w:val="22"/>
                <w:szCs w:val="22"/>
                <w:lang w:eastAsia="es-CO"/>
              </w:rPr>
            </w:pPr>
            <w:r w:rsidRPr="00935A94">
              <w:rPr>
                <w:rFonts w:ascii="Calibri" w:hAnsi="Calibri" w:cs="Calibri"/>
                <w:b/>
                <w:bCs/>
                <w:i w:val="0"/>
                <w:color w:val="000000"/>
                <w:sz w:val="22"/>
                <w:szCs w:val="22"/>
                <w:lang w:eastAsia="es-CO"/>
              </w:rPr>
              <w:t xml:space="preserve">PROPORCION </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3510</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PÉRDIDAS DEL EJERCICIO EN CURSO (DB)</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3910</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PÉRDIDAS DE EJERCICIOS ANTERIORES (DB) </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122601</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SOCIALES</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6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122602</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SOCIALES EN ENTIDADES ECONOMÍA SOLIDARIA</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122603</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EN ASOCIACIONES O AGREMIACIONES</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122604</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EN OTRAS ENTIDADES</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120601</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120602</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121601</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121602</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123001</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123002</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123201</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123202</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1820</w:t>
            </w:r>
          </w:p>
        </w:tc>
        <w:tc>
          <w:tcPr>
            <w:tcW w:w="5380" w:type="dxa"/>
            <w:tcBorders>
              <w:top w:val="nil"/>
              <w:left w:val="nil"/>
              <w:bottom w:val="single" w:sz="4" w:space="0" w:color="auto"/>
              <w:right w:val="single" w:sz="4" w:space="0" w:color="auto"/>
            </w:tcBorders>
            <w:shd w:val="clear" w:color="auto" w:fill="auto"/>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ACTIVOS INTANGIBLES</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935A94" w:rsidRPr="00935A94" w:rsidTr="00935A94">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rsidR="00935A94" w:rsidRPr="008B19DB" w:rsidRDefault="00935A94" w:rsidP="00935A94">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2831</w:t>
            </w:r>
          </w:p>
        </w:tc>
        <w:tc>
          <w:tcPr>
            <w:tcW w:w="538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PROVISIÓN POR BENEFICIOS A EMPLEADOS POST-EMPLEO</w:t>
            </w:r>
          </w:p>
        </w:tc>
        <w:tc>
          <w:tcPr>
            <w:tcW w:w="1420" w:type="dxa"/>
            <w:tcBorders>
              <w:top w:val="nil"/>
              <w:left w:val="nil"/>
              <w:bottom w:val="single" w:sz="4" w:space="0" w:color="auto"/>
              <w:right w:val="single" w:sz="4" w:space="0" w:color="auto"/>
            </w:tcBorders>
            <w:shd w:val="clear" w:color="auto" w:fill="auto"/>
            <w:noWrap/>
            <w:vAlign w:val="bottom"/>
            <w:hideMark/>
          </w:tcPr>
          <w:p w:rsidR="00935A94" w:rsidRPr="008B19DB" w:rsidRDefault="00935A94" w:rsidP="00935A94">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bl>
    <w:p w:rsidR="00231877" w:rsidRDefault="00231877" w:rsidP="00231877">
      <w:pPr>
        <w:jc w:val="both"/>
        <w:rPr>
          <w:i w:val="0"/>
          <w:iCs/>
          <w:sz w:val="22"/>
          <w:szCs w:val="22"/>
          <w:lang w:val="es-MX"/>
        </w:rPr>
      </w:pPr>
    </w:p>
    <w:p w:rsidR="00935A94" w:rsidRDefault="004A2666" w:rsidP="00935A94">
      <w:pPr>
        <w:jc w:val="both"/>
        <w:rPr>
          <w:i w:val="0"/>
          <w:sz w:val="22"/>
          <w:szCs w:val="22"/>
        </w:rPr>
      </w:pPr>
      <w:r>
        <w:rPr>
          <w:i w:val="0"/>
          <w:sz w:val="22"/>
          <w:szCs w:val="22"/>
        </w:rPr>
        <w:t>Las deducciones aquí contenidas (1.2</w:t>
      </w:r>
      <w:r w:rsidR="00BD6464">
        <w:rPr>
          <w:i w:val="0"/>
          <w:sz w:val="22"/>
          <w:szCs w:val="22"/>
        </w:rPr>
        <w:t>.</w:t>
      </w:r>
      <w:r>
        <w:rPr>
          <w:i w:val="0"/>
          <w:sz w:val="22"/>
          <w:szCs w:val="22"/>
        </w:rPr>
        <w:t>)</w:t>
      </w:r>
      <w:r w:rsidR="00BD6464">
        <w:rPr>
          <w:i w:val="0"/>
          <w:sz w:val="22"/>
          <w:szCs w:val="22"/>
        </w:rPr>
        <w:t>,</w:t>
      </w:r>
      <w:r w:rsidR="00935A94" w:rsidRPr="00935A94">
        <w:rPr>
          <w:i w:val="0"/>
          <w:sz w:val="22"/>
          <w:szCs w:val="22"/>
        </w:rPr>
        <w:t xml:space="preserve"> se suman y el resultado obtenido se resta del valor total del patrimonio básico antes establecido.  Así, el valor neto obtenido con</w:t>
      </w:r>
      <w:r w:rsidR="00935A94">
        <w:rPr>
          <w:i w:val="0"/>
          <w:sz w:val="22"/>
          <w:szCs w:val="22"/>
        </w:rPr>
        <w:t>stituye el patrimonio básico</w:t>
      </w:r>
      <w:r>
        <w:rPr>
          <w:i w:val="0"/>
          <w:sz w:val="22"/>
          <w:szCs w:val="22"/>
        </w:rPr>
        <w:t xml:space="preserve"> neto de deducciones,</w:t>
      </w:r>
      <w:r w:rsidR="00935A94">
        <w:rPr>
          <w:i w:val="0"/>
          <w:sz w:val="22"/>
          <w:szCs w:val="22"/>
        </w:rPr>
        <w:t xml:space="preserve"> del fondo de empleados</w:t>
      </w:r>
      <w:r>
        <w:rPr>
          <w:i w:val="0"/>
          <w:sz w:val="22"/>
          <w:szCs w:val="22"/>
        </w:rPr>
        <w:t xml:space="preserve"> de categoría plena</w:t>
      </w:r>
      <w:r w:rsidR="00935A94">
        <w:rPr>
          <w:i w:val="0"/>
          <w:sz w:val="22"/>
          <w:szCs w:val="22"/>
        </w:rPr>
        <w:t xml:space="preserve">. </w:t>
      </w:r>
    </w:p>
    <w:p w:rsidR="00935A94" w:rsidRDefault="00935A94" w:rsidP="00231877">
      <w:pPr>
        <w:jc w:val="both"/>
        <w:rPr>
          <w:i w:val="0"/>
          <w:iCs/>
          <w:sz w:val="22"/>
          <w:szCs w:val="22"/>
          <w:lang w:val="es-MX"/>
        </w:rPr>
      </w:pPr>
    </w:p>
    <w:p w:rsidR="00385557" w:rsidRDefault="00385557" w:rsidP="00231877">
      <w:pPr>
        <w:jc w:val="both"/>
        <w:rPr>
          <w:i w:val="0"/>
          <w:iCs/>
          <w:sz w:val="22"/>
          <w:szCs w:val="22"/>
          <w:lang w:val="es-MX"/>
        </w:rPr>
      </w:pPr>
    </w:p>
    <w:p w:rsidR="00935A94" w:rsidRPr="000F39FB" w:rsidRDefault="00935A94" w:rsidP="000F39FB">
      <w:pPr>
        <w:pStyle w:val="Prrafodelista"/>
        <w:numPr>
          <w:ilvl w:val="1"/>
          <w:numId w:val="8"/>
        </w:numPr>
        <w:suppressAutoHyphens w:val="0"/>
        <w:ind w:left="567" w:hanging="567"/>
        <w:jc w:val="both"/>
        <w:outlineLvl w:val="4"/>
        <w:rPr>
          <w:b/>
          <w:i w:val="0"/>
          <w:sz w:val="22"/>
          <w:szCs w:val="22"/>
        </w:rPr>
      </w:pPr>
      <w:r w:rsidRPr="000F39FB">
        <w:rPr>
          <w:b/>
          <w:i w:val="0"/>
          <w:sz w:val="22"/>
          <w:szCs w:val="22"/>
        </w:rPr>
        <w:t>Patrimonio adicional</w:t>
      </w:r>
    </w:p>
    <w:p w:rsidR="00935A94" w:rsidRPr="00DF6526" w:rsidRDefault="00935A94" w:rsidP="00935A94">
      <w:pPr>
        <w:overflowPunct w:val="0"/>
        <w:autoSpaceDE w:val="0"/>
        <w:autoSpaceDN w:val="0"/>
        <w:adjustRightInd w:val="0"/>
        <w:jc w:val="both"/>
        <w:rPr>
          <w:sz w:val="22"/>
          <w:szCs w:val="22"/>
        </w:rPr>
      </w:pPr>
    </w:p>
    <w:p w:rsidR="00935A94" w:rsidRPr="00DF6526" w:rsidRDefault="00935A94" w:rsidP="00935A94">
      <w:pPr>
        <w:pStyle w:val="Textoindependiente"/>
        <w:rPr>
          <w:sz w:val="22"/>
          <w:szCs w:val="22"/>
        </w:rPr>
      </w:pPr>
      <w:r w:rsidRPr="00DF6526">
        <w:rPr>
          <w:sz w:val="22"/>
          <w:szCs w:val="22"/>
        </w:rPr>
        <w:t xml:space="preserve">El patrimonio adicional de </w:t>
      </w:r>
      <w:r>
        <w:rPr>
          <w:sz w:val="22"/>
          <w:szCs w:val="22"/>
        </w:rPr>
        <w:t>los fondos de empleados de categoría plena</w:t>
      </w:r>
      <w:r w:rsidR="00767DE3">
        <w:rPr>
          <w:sz w:val="22"/>
          <w:szCs w:val="22"/>
        </w:rPr>
        <w:t>,</w:t>
      </w:r>
      <w:r>
        <w:rPr>
          <w:sz w:val="22"/>
          <w:szCs w:val="22"/>
        </w:rPr>
        <w:t xml:space="preserve"> </w:t>
      </w:r>
      <w:r w:rsidRPr="00DF6526">
        <w:rPr>
          <w:sz w:val="22"/>
          <w:szCs w:val="22"/>
        </w:rPr>
        <w:t xml:space="preserve">está compuesto por los </w:t>
      </w:r>
      <w:r w:rsidR="00B403FA">
        <w:rPr>
          <w:sz w:val="22"/>
          <w:szCs w:val="22"/>
        </w:rPr>
        <w:t>ítems</w:t>
      </w:r>
      <w:r w:rsidRPr="00DF6526">
        <w:rPr>
          <w:sz w:val="22"/>
          <w:szCs w:val="22"/>
        </w:rPr>
        <w:t xml:space="preserve"> que se relacionan a continuación:</w:t>
      </w:r>
    </w:p>
    <w:p w:rsidR="00935A94" w:rsidRDefault="00935A94" w:rsidP="00231877">
      <w:pPr>
        <w:jc w:val="both"/>
        <w:rPr>
          <w:i w:val="0"/>
          <w:iCs/>
          <w:sz w:val="22"/>
          <w:szCs w:val="22"/>
          <w:lang w:val="es-MX"/>
        </w:rPr>
      </w:pPr>
    </w:p>
    <w:p w:rsidR="00935A94" w:rsidRDefault="00B403FA" w:rsidP="00B403FA">
      <w:pPr>
        <w:pStyle w:val="Prrafodelista"/>
        <w:numPr>
          <w:ilvl w:val="0"/>
          <w:numId w:val="7"/>
        </w:numPr>
        <w:ind w:left="426" w:hanging="426"/>
        <w:jc w:val="both"/>
        <w:rPr>
          <w:i w:val="0"/>
          <w:iCs/>
          <w:sz w:val="22"/>
          <w:szCs w:val="22"/>
          <w:lang w:val="es-MX"/>
        </w:rPr>
      </w:pPr>
      <w:r>
        <w:rPr>
          <w:i w:val="0"/>
          <w:iCs/>
          <w:sz w:val="22"/>
          <w:szCs w:val="22"/>
          <w:lang w:val="es-MX"/>
        </w:rPr>
        <w:t xml:space="preserve">Los excedentes del ejercicio en curso, en el porcentaje en el que la asamblea general de asociados, se comprometa irrevocablemente a destinar para el incremento de la reserva de protección de los aportes sociales, durante o al término del ejercicio. </w:t>
      </w:r>
    </w:p>
    <w:p w:rsidR="00B403FA" w:rsidRDefault="00B403FA" w:rsidP="00B403FA">
      <w:pPr>
        <w:pStyle w:val="Prrafodelista"/>
        <w:ind w:left="426"/>
        <w:jc w:val="both"/>
        <w:rPr>
          <w:i w:val="0"/>
          <w:iCs/>
          <w:sz w:val="22"/>
          <w:szCs w:val="22"/>
          <w:lang w:val="es-MX"/>
        </w:rPr>
      </w:pPr>
    </w:p>
    <w:p w:rsidR="00B403FA" w:rsidRDefault="00AF61CC" w:rsidP="00B403FA">
      <w:pPr>
        <w:pStyle w:val="Prrafodelista"/>
        <w:ind w:left="426"/>
        <w:jc w:val="both"/>
        <w:rPr>
          <w:i w:val="0"/>
          <w:iCs/>
          <w:sz w:val="22"/>
          <w:szCs w:val="22"/>
          <w:lang w:val="es-MX"/>
        </w:rPr>
      </w:pPr>
      <w:r>
        <w:rPr>
          <w:i w:val="0"/>
          <w:iCs/>
          <w:sz w:val="22"/>
          <w:szCs w:val="22"/>
          <w:lang w:val="es-MX"/>
        </w:rPr>
        <w:t xml:space="preserve">El porcentaje de los </w:t>
      </w:r>
      <w:r w:rsidR="00B403FA">
        <w:rPr>
          <w:i w:val="0"/>
          <w:iCs/>
          <w:sz w:val="22"/>
          <w:szCs w:val="22"/>
          <w:lang w:val="es-MX"/>
        </w:rPr>
        <w:t>excedentes</w:t>
      </w:r>
      <w:r>
        <w:rPr>
          <w:i w:val="0"/>
          <w:iCs/>
          <w:sz w:val="22"/>
          <w:szCs w:val="22"/>
          <w:lang w:val="es-MX"/>
        </w:rPr>
        <w:t xml:space="preserve"> del ejercicio,</w:t>
      </w:r>
      <w:r w:rsidR="00B403FA">
        <w:rPr>
          <w:i w:val="0"/>
          <w:iCs/>
          <w:sz w:val="22"/>
          <w:szCs w:val="22"/>
          <w:lang w:val="es-MX"/>
        </w:rPr>
        <w:t xml:space="preserve"> sólo serán reconocidos como capital regulatorio una vez la Superintendencia de la Economía Solidaria apruebe el documento de compromiso. </w:t>
      </w:r>
    </w:p>
    <w:p w:rsidR="00B403FA" w:rsidRDefault="00B403FA" w:rsidP="00B403FA">
      <w:pPr>
        <w:pStyle w:val="Prrafodelista"/>
        <w:ind w:left="426"/>
        <w:jc w:val="both"/>
        <w:rPr>
          <w:i w:val="0"/>
          <w:iCs/>
          <w:sz w:val="22"/>
          <w:szCs w:val="22"/>
          <w:lang w:val="es-MX"/>
        </w:rPr>
      </w:pPr>
    </w:p>
    <w:p w:rsidR="00B403FA" w:rsidRDefault="00B403FA" w:rsidP="00B403FA">
      <w:pPr>
        <w:pStyle w:val="Prrafodelista"/>
        <w:ind w:left="426"/>
        <w:jc w:val="both"/>
        <w:rPr>
          <w:i w:val="0"/>
          <w:iCs/>
          <w:sz w:val="22"/>
          <w:szCs w:val="22"/>
          <w:lang w:val="es-MX"/>
        </w:rPr>
      </w:pPr>
      <w:r>
        <w:rPr>
          <w:i w:val="0"/>
          <w:iCs/>
          <w:sz w:val="22"/>
          <w:szCs w:val="22"/>
          <w:lang w:val="es-MX"/>
        </w:rPr>
        <w:lastRenderedPageBreak/>
        <w:t>Entre el 1º de enero y la fecha de celebración de la asamblea general ordinaria de asociados, se reconocerán los excedentes del ejercicio anterior</w:t>
      </w:r>
      <w:r w:rsidR="00BD6464">
        <w:rPr>
          <w:i w:val="0"/>
          <w:iCs/>
          <w:sz w:val="22"/>
          <w:szCs w:val="22"/>
          <w:lang w:val="es-MX"/>
        </w:rPr>
        <w:t>,</w:t>
      </w:r>
      <w:bookmarkStart w:id="1" w:name="_GoBack"/>
      <w:bookmarkEnd w:id="1"/>
      <w:r>
        <w:rPr>
          <w:i w:val="0"/>
          <w:iCs/>
          <w:sz w:val="22"/>
          <w:szCs w:val="22"/>
          <w:lang w:val="es-MX"/>
        </w:rPr>
        <w:t xml:space="preserve"> en el mismo porcentaje al que se ha hecho referencia en este literal. </w:t>
      </w:r>
    </w:p>
    <w:p w:rsidR="00B403FA" w:rsidRDefault="00B403FA" w:rsidP="00B403FA">
      <w:pPr>
        <w:jc w:val="both"/>
        <w:rPr>
          <w:i w:val="0"/>
          <w:iCs/>
          <w:sz w:val="22"/>
          <w:szCs w:val="22"/>
          <w:lang w:val="es-MX"/>
        </w:rPr>
      </w:pPr>
    </w:p>
    <w:p w:rsidR="00B403FA" w:rsidRDefault="00B403FA" w:rsidP="00B403FA">
      <w:pPr>
        <w:pStyle w:val="Prrafodelista"/>
        <w:numPr>
          <w:ilvl w:val="0"/>
          <w:numId w:val="7"/>
        </w:numPr>
        <w:ind w:left="426" w:hanging="426"/>
        <w:jc w:val="both"/>
        <w:rPr>
          <w:i w:val="0"/>
          <w:iCs/>
          <w:sz w:val="22"/>
          <w:szCs w:val="22"/>
          <w:lang w:val="es-MX"/>
        </w:rPr>
      </w:pPr>
      <w:r>
        <w:rPr>
          <w:i w:val="0"/>
          <w:iCs/>
          <w:sz w:val="22"/>
          <w:szCs w:val="22"/>
          <w:lang w:val="es-MX"/>
        </w:rPr>
        <w:t>El cincuenta por ciento (50%) de la reserva fiscal a la que hace referencia el artículo 1.2.1.6.8 del Decreto 1625 de 2016.</w:t>
      </w:r>
    </w:p>
    <w:p w:rsidR="00B403FA" w:rsidRDefault="00B403FA" w:rsidP="00B403FA">
      <w:pPr>
        <w:pStyle w:val="Prrafodelista"/>
        <w:ind w:left="426"/>
        <w:jc w:val="both"/>
        <w:rPr>
          <w:i w:val="0"/>
          <w:iCs/>
          <w:sz w:val="22"/>
          <w:szCs w:val="22"/>
          <w:lang w:val="es-MX"/>
        </w:rPr>
      </w:pPr>
      <w:r>
        <w:rPr>
          <w:i w:val="0"/>
          <w:iCs/>
          <w:sz w:val="22"/>
          <w:szCs w:val="22"/>
          <w:lang w:val="es-MX"/>
        </w:rPr>
        <w:t xml:space="preserve"> </w:t>
      </w:r>
    </w:p>
    <w:p w:rsidR="00B403FA" w:rsidRDefault="00B403FA" w:rsidP="00B403FA">
      <w:pPr>
        <w:pStyle w:val="Prrafodelista"/>
        <w:numPr>
          <w:ilvl w:val="0"/>
          <w:numId w:val="7"/>
        </w:numPr>
        <w:ind w:left="426" w:hanging="426"/>
        <w:jc w:val="both"/>
        <w:rPr>
          <w:i w:val="0"/>
          <w:iCs/>
          <w:sz w:val="22"/>
          <w:szCs w:val="22"/>
          <w:lang w:val="es-MX"/>
        </w:rPr>
      </w:pPr>
      <w:r>
        <w:rPr>
          <w:i w:val="0"/>
          <w:iCs/>
          <w:sz w:val="22"/>
          <w:szCs w:val="22"/>
          <w:lang w:val="es-MX"/>
        </w:rPr>
        <w:t xml:space="preserve">El cincuenta por ciento (50%) </w:t>
      </w:r>
      <w:r w:rsidR="006743E7">
        <w:rPr>
          <w:i w:val="0"/>
          <w:iCs/>
          <w:sz w:val="22"/>
          <w:szCs w:val="22"/>
          <w:lang w:val="es-MX"/>
        </w:rPr>
        <w:t xml:space="preserve">de las valorizaciones o ganancias no realizadas en inversiones en valores clasificados como disponibles para la venta en títulos de deuda y títulos participativos con alta o media </w:t>
      </w:r>
      <w:proofErr w:type="spellStart"/>
      <w:r w:rsidR="006743E7">
        <w:rPr>
          <w:i w:val="0"/>
          <w:iCs/>
          <w:sz w:val="22"/>
          <w:szCs w:val="22"/>
          <w:lang w:val="es-MX"/>
        </w:rPr>
        <w:t>bursatilidad</w:t>
      </w:r>
      <w:proofErr w:type="spellEnd"/>
      <w:r w:rsidR="006743E7">
        <w:rPr>
          <w:i w:val="0"/>
          <w:iCs/>
          <w:sz w:val="22"/>
          <w:szCs w:val="22"/>
          <w:lang w:val="es-MX"/>
        </w:rPr>
        <w:t xml:space="preserve">, exceptuando las valorizaciones de las inversiones a que se refiere el literal b) del artículo 2.11.5.2.1.5 del </w:t>
      </w:r>
      <w:r w:rsidR="004815F6" w:rsidRPr="00AB7D4E">
        <w:rPr>
          <w:i w:val="0"/>
          <w:sz w:val="22"/>
          <w:szCs w:val="22"/>
        </w:rPr>
        <w:t xml:space="preserve">Decreto </w:t>
      </w:r>
      <w:r w:rsidR="004815F6">
        <w:rPr>
          <w:i w:val="0"/>
          <w:sz w:val="22"/>
          <w:szCs w:val="22"/>
        </w:rPr>
        <w:t>1068 de 2015 que fue adicionado por el artículo 1º del Decreto 344 de 2017</w:t>
      </w:r>
      <w:r w:rsidR="006743E7">
        <w:rPr>
          <w:i w:val="0"/>
          <w:iCs/>
          <w:sz w:val="22"/>
          <w:szCs w:val="22"/>
          <w:lang w:val="es-MX"/>
        </w:rPr>
        <w:t>.  De dicho monto se deducirá el 100% de sus pérdidas, exceptuando las asociadas a las inversiones a que se refiere el literal b) del artículo 2.11.5.2.1.5</w:t>
      </w:r>
      <w:r w:rsidR="004815F6">
        <w:rPr>
          <w:i w:val="0"/>
          <w:iCs/>
          <w:sz w:val="22"/>
          <w:szCs w:val="22"/>
          <w:lang w:val="es-MX"/>
        </w:rPr>
        <w:t xml:space="preserve"> ibídem. </w:t>
      </w:r>
    </w:p>
    <w:p w:rsidR="006743E7" w:rsidRPr="006743E7" w:rsidRDefault="006743E7" w:rsidP="006743E7">
      <w:pPr>
        <w:pStyle w:val="Prrafodelista"/>
        <w:rPr>
          <w:i w:val="0"/>
          <w:iCs/>
          <w:sz w:val="22"/>
          <w:szCs w:val="22"/>
          <w:lang w:val="es-MX"/>
        </w:rPr>
      </w:pPr>
    </w:p>
    <w:p w:rsidR="002B1564" w:rsidRDefault="006743E7" w:rsidP="004A2666">
      <w:pPr>
        <w:pStyle w:val="Prrafodelista"/>
        <w:numPr>
          <w:ilvl w:val="0"/>
          <w:numId w:val="7"/>
        </w:numPr>
        <w:ind w:left="426" w:hanging="426"/>
        <w:jc w:val="both"/>
        <w:rPr>
          <w:i w:val="0"/>
          <w:iCs/>
          <w:sz w:val="22"/>
          <w:szCs w:val="22"/>
          <w:lang w:val="es-MX"/>
        </w:rPr>
      </w:pPr>
      <w:r w:rsidRPr="001160FF">
        <w:rPr>
          <w:i w:val="0"/>
          <w:iCs/>
          <w:sz w:val="22"/>
          <w:szCs w:val="22"/>
          <w:lang w:val="es-MX"/>
        </w:rPr>
        <w:t xml:space="preserve">El valor de las provisiones de carácter general constituidas por el Fondo de Empleados. El presente instrumento se tendrá en cuenta hasta por un valor máximo equivalente al 1.25% de los activos </w:t>
      </w:r>
      <w:r w:rsidR="000F39FB" w:rsidRPr="001160FF">
        <w:rPr>
          <w:i w:val="0"/>
          <w:iCs/>
          <w:sz w:val="22"/>
          <w:szCs w:val="22"/>
          <w:lang w:val="es-MX"/>
        </w:rPr>
        <w:t xml:space="preserve">ponderados por nivel de riesgo crediticio.  No se tendrán en cuenta los excesos sobre las provisiones generales regulatorias. </w:t>
      </w:r>
      <w:r w:rsidR="001160FF" w:rsidRPr="001160FF">
        <w:rPr>
          <w:i w:val="0"/>
          <w:iCs/>
          <w:sz w:val="22"/>
          <w:szCs w:val="22"/>
          <w:lang w:val="es-MX"/>
        </w:rPr>
        <w:t xml:space="preserve"> </w:t>
      </w:r>
    </w:p>
    <w:p w:rsidR="002B1564" w:rsidRPr="002B1564" w:rsidRDefault="002B1564" w:rsidP="002B1564">
      <w:pPr>
        <w:pStyle w:val="Prrafodelista"/>
        <w:rPr>
          <w:i w:val="0"/>
          <w:iCs/>
          <w:sz w:val="22"/>
          <w:szCs w:val="22"/>
          <w:lang w:val="es-MX"/>
        </w:rPr>
      </w:pPr>
    </w:p>
    <w:p w:rsidR="00EE0AC0" w:rsidRDefault="00EE0AC0" w:rsidP="002B1564">
      <w:pPr>
        <w:pStyle w:val="Prrafodelista"/>
        <w:ind w:left="426"/>
        <w:jc w:val="both"/>
        <w:rPr>
          <w:i w:val="0"/>
          <w:iCs/>
          <w:sz w:val="22"/>
          <w:szCs w:val="22"/>
          <w:lang w:val="es-MX"/>
        </w:rPr>
      </w:pPr>
      <w:r>
        <w:rPr>
          <w:i w:val="0"/>
          <w:iCs/>
          <w:sz w:val="22"/>
          <w:szCs w:val="22"/>
          <w:lang w:val="es-MX"/>
        </w:rPr>
        <w:t>Para determinar el valor de las provisiones o deterioros de carácter general constituidos por el Fondo de Empleados que se tendrán en cuenta como capital regulatorio en el patrimonio adicional, es necesario contar con la información de los Activos Ponderados por Nivel de Riesgos calculado de acuerdo a lo señalado en el numeral 2 de la presente carta circular,</w:t>
      </w:r>
      <w:r w:rsidR="00750BF0">
        <w:rPr>
          <w:i w:val="0"/>
          <w:iCs/>
          <w:sz w:val="22"/>
          <w:szCs w:val="22"/>
          <w:lang w:val="es-MX"/>
        </w:rPr>
        <w:t xml:space="preserve"> así como</w:t>
      </w:r>
      <w:r>
        <w:rPr>
          <w:i w:val="0"/>
          <w:iCs/>
          <w:sz w:val="22"/>
          <w:szCs w:val="22"/>
          <w:lang w:val="es-MX"/>
        </w:rPr>
        <w:t xml:space="preserve"> el valor de la cartera de créditos bruta y el valor reportado por el fondo de empleados en la cuenta CUC 146800 Deterioro General de la Cartera de Créditos. </w:t>
      </w:r>
    </w:p>
    <w:p w:rsidR="00EE0AC0" w:rsidRDefault="00EE0AC0" w:rsidP="002B1564">
      <w:pPr>
        <w:pStyle w:val="Prrafodelista"/>
        <w:ind w:left="426"/>
        <w:jc w:val="both"/>
        <w:rPr>
          <w:i w:val="0"/>
          <w:iCs/>
          <w:sz w:val="22"/>
          <w:szCs w:val="22"/>
          <w:lang w:val="es-MX"/>
        </w:rPr>
      </w:pPr>
    </w:p>
    <w:p w:rsidR="004815F6" w:rsidRPr="001160FF" w:rsidRDefault="004815F6" w:rsidP="002B1564">
      <w:pPr>
        <w:pStyle w:val="Prrafodelista"/>
        <w:ind w:left="426"/>
        <w:jc w:val="both"/>
        <w:rPr>
          <w:i w:val="0"/>
          <w:iCs/>
          <w:sz w:val="22"/>
          <w:szCs w:val="22"/>
          <w:lang w:val="es-MX"/>
        </w:rPr>
      </w:pPr>
      <w:r w:rsidRPr="001160FF">
        <w:rPr>
          <w:i w:val="0"/>
          <w:iCs/>
          <w:sz w:val="22"/>
          <w:szCs w:val="22"/>
          <w:lang w:val="es-MX"/>
        </w:rPr>
        <w:t>A modo de ejemplo tenemos lo siguiente:</w:t>
      </w:r>
    </w:p>
    <w:p w:rsidR="004815F6" w:rsidRDefault="004815F6" w:rsidP="004815F6">
      <w:pPr>
        <w:ind w:left="426"/>
        <w:jc w:val="both"/>
        <w:rPr>
          <w:i w:val="0"/>
          <w:iCs/>
          <w:sz w:val="22"/>
          <w:szCs w:val="22"/>
          <w:lang w:val="es-MX"/>
        </w:rPr>
      </w:pPr>
    </w:p>
    <w:p w:rsidR="007F6F80" w:rsidRDefault="00EE0AC0" w:rsidP="004815F6">
      <w:pPr>
        <w:ind w:left="426"/>
        <w:jc w:val="both"/>
        <w:rPr>
          <w:i w:val="0"/>
          <w:iCs/>
          <w:sz w:val="22"/>
          <w:szCs w:val="22"/>
          <w:lang w:val="es-MX"/>
        </w:rPr>
      </w:pPr>
      <w:r>
        <w:rPr>
          <w:i w:val="0"/>
          <w:iCs/>
          <w:sz w:val="22"/>
          <w:szCs w:val="22"/>
          <w:lang w:val="es-MX"/>
        </w:rPr>
        <w:t xml:space="preserve">El </w:t>
      </w:r>
      <w:r w:rsidR="004815F6">
        <w:rPr>
          <w:i w:val="0"/>
          <w:iCs/>
          <w:sz w:val="22"/>
          <w:szCs w:val="22"/>
          <w:lang w:val="es-MX"/>
        </w:rPr>
        <w:t xml:space="preserve">Fondo de Empleados XX </w:t>
      </w:r>
      <w:r w:rsidR="007F6F80">
        <w:rPr>
          <w:i w:val="0"/>
          <w:iCs/>
          <w:sz w:val="22"/>
          <w:szCs w:val="22"/>
          <w:lang w:val="es-MX"/>
        </w:rPr>
        <w:t>al corte de diciembre de 2017</w:t>
      </w:r>
      <w:r w:rsidR="00D81DCD">
        <w:rPr>
          <w:i w:val="0"/>
          <w:iCs/>
          <w:sz w:val="22"/>
          <w:szCs w:val="22"/>
          <w:lang w:val="es-MX"/>
        </w:rPr>
        <w:t>,</w:t>
      </w:r>
      <w:r w:rsidR="007F6F80">
        <w:rPr>
          <w:i w:val="0"/>
          <w:iCs/>
          <w:sz w:val="22"/>
          <w:szCs w:val="22"/>
          <w:lang w:val="es-MX"/>
        </w:rPr>
        <w:t xml:space="preserve"> </w:t>
      </w:r>
      <w:r w:rsidR="00D81DCD">
        <w:rPr>
          <w:i w:val="0"/>
          <w:iCs/>
          <w:sz w:val="22"/>
          <w:szCs w:val="22"/>
          <w:lang w:val="es-MX"/>
        </w:rPr>
        <w:t>reportó</w:t>
      </w:r>
      <w:r w:rsidR="004815F6">
        <w:rPr>
          <w:i w:val="0"/>
          <w:iCs/>
          <w:sz w:val="22"/>
          <w:szCs w:val="22"/>
          <w:lang w:val="es-MX"/>
        </w:rPr>
        <w:t xml:space="preserve"> en la cuenta </w:t>
      </w:r>
      <w:r w:rsidR="007F6F80">
        <w:rPr>
          <w:i w:val="0"/>
          <w:iCs/>
          <w:sz w:val="22"/>
          <w:szCs w:val="22"/>
          <w:lang w:val="es-MX"/>
        </w:rPr>
        <w:t xml:space="preserve">CUC 146800 Deterioro General de la Cartera de Créditos la suma de $1.226.314.817,00 para un total de cartera </w:t>
      </w:r>
      <w:r w:rsidR="002B1564">
        <w:rPr>
          <w:i w:val="0"/>
          <w:iCs/>
          <w:sz w:val="22"/>
          <w:szCs w:val="22"/>
          <w:lang w:val="es-MX"/>
        </w:rPr>
        <w:t xml:space="preserve">de créditos </w:t>
      </w:r>
      <w:r w:rsidR="007F6F80">
        <w:rPr>
          <w:i w:val="0"/>
          <w:iCs/>
          <w:sz w:val="22"/>
          <w:szCs w:val="22"/>
          <w:lang w:val="es-MX"/>
        </w:rPr>
        <w:t xml:space="preserve">bruta de $29.222.874.743,00, que equivale al 4,19%, porcentaje superior al mínimo exigido del 1% previsto en el numeral 6.1 de la Circular Externa No. 003 de 2013 que modificó la Circular Básica Contable y Financiera No. 004 de 2008 proferida por esta Superintendencia, por corresponder a una política adoptada por la Junta Directiva del fondo de constituir una provisión (deterioro) superior. </w:t>
      </w:r>
    </w:p>
    <w:p w:rsidR="007F6F80" w:rsidRDefault="007F6F80" w:rsidP="004815F6">
      <w:pPr>
        <w:ind w:left="426"/>
        <w:jc w:val="both"/>
        <w:rPr>
          <w:i w:val="0"/>
          <w:iCs/>
          <w:sz w:val="22"/>
          <w:szCs w:val="22"/>
          <w:lang w:val="es-MX"/>
        </w:rPr>
      </w:pPr>
    </w:p>
    <w:p w:rsidR="001F17EE" w:rsidRDefault="007F6F80" w:rsidP="004815F6">
      <w:pPr>
        <w:ind w:left="426"/>
        <w:jc w:val="both"/>
        <w:rPr>
          <w:i w:val="0"/>
          <w:iCs/>
          <w:sz w:val="22"/>
          <w:szCs w:val="22"/>
          <w:lang w:val="es-MX"/>
        </w:rPr>
      </w:pPr>
      <w:r>
        <w:rPr>
          <w:i w:val="0"/>
          <w:iCs/>
          <w:sz w:val="22"/>
          <w:szCs w:val="22"/>
          <w:lang w:val="es-MX"/>
        </w:rPr>
        <w:t xml:space="preserve">El total de activos ponderados por nivel de riesgos del Fondo de Empleados XX al corte de diciembre de 2017 </w:t>
      </w:r>
      <w:r w:rsidR="001F17EE">
        <w:rPr>
          <w:i w:val="0"/>
          <w:iCs/>
          <w:sz w:val="22"/>
          <w:szCs w:val="22"/>
          <w:lang w:val="es-MX"/>
        </w:rPr>
        <w:t xml:space="preserve">asciende a la suma de </w:t>
      </w:r>
      <w:r>
        <w:rPr>
          <w:i w:val="0"/>
          <w:iCs/>
          <w:sz w:val="22"/>
          <w:szCs w:val="22"/>
          <w:lang w:val="es-MX"/>
        </w:rPr>
        <w:t>$15.682.893.016,00</w:t>
      </w:r>
      <w:r w:rsidR="001F17EE">
        <w:rPr>
          <w:i w:val="0"/>
          <w:iCs/>
          <w:sz w:val="22"/>
          <w:szCs w:val="22"/>
          <w:lang w:val="es-MX"/>
        </w:rPr>
        <w:t xml:space="preserve"> luego el 1.25% da como resultado la suma de $196.036.162,70 que sería el monto máximo que podría computar como capital regulatorio. </w:t>
      </w:r>
    </w:p>
    <w:p w:rsidR="001F17EE" w:rsidRDefault="001F17EE" w:rsidP="004815F6">
      <w:pPr>
        <w:ind w:left="426"/>
        <w:jc w:val="both"/>
        <w:rPr>
          <w:i w:val="0"/>
          <w:iCs/>
          <w:sz w:val="22"/>
          <w:szCs w:val="22"/>
          <w:lang w:val="es-MX"/>
        </w:rPr>
      </w:pPr>
    </w:p>
    <w:p w:rsidR="001F17EE" w:rsidRDefault="001F17EE" w:rsidP="004815F6">
      <w:pPr>
        <w:ind w:left="426"/>
        <w:jc w:val="both"/>
        <w:rPr>
          <w:i w:val="0"/>
          <w:iCs/>
          <w:sz w:val="22"/>
          <w:szCs w:val="22"/>
          <w:lang w:val="es-MX"/>
        </w:rPr>
      </w:pPr>
      <w:r>
        <w:rPr>
          <w:i w:val="0"/>
          <w:iCs/>
          <w:sz w:val="22"/>
          <w:szCs w:val="22"/>
          <w:lang w:val="es-MX"/>
        </w:rPr>
        <w:t>Con base en la anterior información tenemos la siguiente información del Fondo de Empleados XX al corte de diciembre de 2017 para determinar cuál valor ponderaría como capital regulatorio en al patrimonio adicional, así:</w:t>
      </w:r>
    </w:p>
    <w:p w:rsidR="001F17EE" w:rsidRDefault="001F17EE" w:rsidP="004815F6">
      <w:pPr>
        <w:ind w:left="426"/>
        <w:jc w:val="both"/>
        <w:rPr>
          <w:i w:val="0"/>
          <w:iCs/>
          <w:sz w:val="22"/>
          <w:szCs w:val="22"/>
          <w:lang w:val="es-MX"/>
        </w:rPr>
      </w:pPr>
    </w:p>
    <w:tbl>
      <w:tblPr>
        <w:tblStyle w:val="Tablaconcuadrcula"/>
        <w:tblW w:w="0" w:type="auto"/>
        <w:tblInd w:w="1129" w:type="dxa"/>
        <w:tblLook w:val="04A0" w:firstRow="1" w:lastRow="0" w:firstColumn="1" w:lastColumn="0" w:noHBand="0" w:noVBand="1"/>
      </w:tblPr>
      <w:tblGrid>
        <w:gridCol w:w="2877"/>
        <w:gridCol w:w="1937"/>
        <w:gridCol w:w="2268"/>
      </w:tblGrid>
      <w:tr w:rsidR="00EE0AC0" w:rsidTr="004A2666">
        <w:tc>
          <w:tcPr>
            <w:tcW w:w="7082" w:type="dxa"/>
            <w:gridSpan w:val="3"/>
          </w:tcPr>
          <w:p w:rsidR="00EE0AC0" w:rsidRDefault="00EE0AC0" w:rsidP="001160FF">
            <w:pPr>
              <w:jc w:val="center"/>
              <w:rPr>
                <w:rFonts w:asciiTheme="minorHAnsi" w:hAnsiTheme="minorHAnsi" w:cstheme="minorHAnsi"/>
                <w:b/>
                <w:i w:val="0"/>
                <w:iCs/>
                <w:sz w:val="22"/>
                <w:szCs w:val="22"/>
                <w:lang w:val="es-MX"/>
              </w:rPr>
            </w:pPr>
            <w:r>
              <w:rPr>
                <w:rFonts w:asciiTheme="minorHAnsi" w:hAnsiTheme="minorHAnsi" w:cstheme="minorHAnsi"/>
                <w:b/>
                <w:i w:val="0"/>
                <w:iCs/>
                <w:sz w:val="22"/>
                <w:szCs w:val="22"/>
                <w:lang w:val="es-MX"/>
              </w:rPr>
              <w:t>Fondo de Empleados XX</w:t>
            </w:r>
          </w:p>
          <w:p w:rsidR="00EE0AC0" w:rsidRPr="001160FF" w:rsidRDefault="00EE0AC0" w:rsidP="001160FF">
            <w:pPr>
              <w:jc w:val="center"/>
              <w:rPr>
                <w:rFonts w:asciiTheme="minorHAnsi" w:hAnsiTheme="minorHAnsi" w:cstheme="minorHAnsi"/>
                <w:b/>
                <w:i w:val="0"/>
                <w:iCs/>
                <w:sz w:val="22"/>
                <w:szCs w:val="22"/>
                <w:lang w:val="es-MX"/>
              </w:rPr>
            </w:pPr>
            <w:r>
              <w:rPr>
                <w:rFonts w:asciiTheme="minorHAnsi" w:hAnsiTheme="minorHAnsi" w:cstheme="minorHAnsi"/>
                <w:b/>
                <w:i w:val="0"/>
                <w:iCs/>
                <w:sz w:val="22"/>
                <w:szCs w:val="22"/>
                <w:lang w:val="es-MX"/>
              </w:rPr>
              <w:t>Información al corte de Diciembre de 2017</w:t>
            </w:r>
          </w:p>
        </w:tc>
      </w:tr>
      <w:tr w:rsidR="001F17EE" w:rsidTr="001160FF">
        <w:tc>
          <w:tcPr>
            <w:tcW w:w="2877" w:type="dxa"/>
          </w:tcPr>
          <w:p w:rsidR="001F17EE" w:rsidRPr="001160FF" w:rsidRDefault="001160FF" w:rsidP="001160FF">
            <w:pPr>
              <w:jc w:val="center"/>
              <w:rPr>
                <w:rFonts w:asciiTheme="minorHAnsi" w:hAnsiTheme="minorHAnsi" w:cstheme="minorHAnsi"/>
                <w:b/>
                <w:i w:val="0"/>
                <w:iCs/>
                <w:sz w:val="22"/>
                <w:szCs w:val="22"/>
                <w:lang w:val="es-MX"/>
              </w:rPr>
            </w:pPr>
            <w:r w:rsidRPr="001160FF">
              <w:rPr>
                <w:rFonts w:asciiTheme="minorHAnsi" w:hAnsiTheme="minorHAnsi" w:cstheme="minorHAnsi"/>
                <w:b/>
                <w:i w:val="0"/>
                <w:iCs/>
                <w:sz w:val="22"/>
                <w:szCs w:val="22"/>
                <w:lang w:val="es-MX"/>
              </w:rPr>
              <w:t>Denominación</w:t>
            </w:r>
          </w:p>
        </w:tc>
        <w:tc>
          <w:tcPr>
            <w:tcW w:w="1937" w:type="dxa"/>
          </w:tcPr>
          <w:p w:rsidR="001F17EE" w:rsidRPr="001160FF" w:rsidRDefault="001160FF" w:rsidP="001160FF">
            <w:pPr>
              <w:jc w:val="center"/>
              <w:rPr>
                <w:rFonts w:asciiTheme="minorHAnsi" w:hAnsiTheme="minorHAnsi" w:cstheme="minorHAnsi"/>
                <w:b/>
                <w:i w:val="0"/>
                <w:iCs/>
                <w:sz w:val="22"/>
                <w:szCs w:val="22"/>
                <w:lang w:val="es-MX"/>
              </w:rPr>
            </w:pPr>
            <w:r w:rsidRPr="001160FF">
              <w:rPr>
                <w:rFonts w:asciiTheme="minorHAnsi" w:hAnsiTheme="minorHAnsi" w:cstheme="minorHAnsi"/>
                <w:b/>
                <w:i w:val="0"/>
                <w:iCs/>
                <w:sz w:val="22"/>
                <w:szCs w:val="22"/>
                <w:lang w:val="es-MX"/>
              </w:rPr>
              <w:t>Valor</w:t>
            </w:r>
          </w:p>
        </w:tc>
        <w:tc>
          <w:tcPr>
            <w:tcW w:w="2268" w:type="dxa"/>
          </w:tcPr>
          <w:p w:rsidR="001F17EE" w:rsidRPr="001160FF" w:rsidRDefault="001F17EE" w:rsidP="001160FF">
            <w:pPr>
              <w:jc w:val="center"/>
              <w:rPr>
                <w:rFonts w:asciiTheme="minorHAnsi" w:hAnsiTheme="minorHAnsi" w:cstheme="minorHAnsi"/>
                <w:b/>
                <w:i w:val="0"/>
                <w:iCs/>
                <w:sz w:val="22"/>
                <w:szCs w:val="22"/>
                <w:lang w:val="es-MX"/>
              </w:rPr>
            </w:pPr>
          </w:p>
        </w:tc>
      </w:tr>
      <w:tr w:rsidR="002B1564" w:rsidTr="001160FF">
        <w:tc>
          <w:tcPr>
            <w:tcW w:w="2877" w:type="dxa"/>
          </w:tcPr>
          <w:p w:rsidR="002B1564" w:rsidRPr="001F17EE" w:rsidRDefault="002B1564" w:rsidP="002B1564">
            <w:pPr>
              <w:jc w:val="both"/>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Cartera de Créditos Bruta </w:t>
            </w:r>
          </w:p>
        </w:tc>
        <w:tc>
          <w:tcPr>
            <w:tcW w:w="1937" w:type="dxa"/>
          </w:tcPr>
          <w:p w:rsidR="002B1564" w:rsidRPr="001F17EE" w:rsidRDefault="002B1564" w:rsidP="002B1564">
            <w:pPr>
              <w:jc w:val="right"/>
              <w:rPr>
                <w:rFonts w:asciiTheme="minorHAnsi" w:hAnsiTheme="minorHAnsi" w:cstheme="minorHAnsi"/>
                <w:i w:val="0"/>
                <w:iCs/>
                <w:sz w:val="18"/>
                <w:szCs w:val="18"/>
                <w:lang w:val="es-MX"/>
              </w:rPr>
            </w:pPr>
            <w:r>
              <w:rPr>
                <w:rFonts w:asciiTheme="minorHAnsi" w:hAnsiTheme="minorHAnsi" w:cstheme="minorHAnsi"/>
                <w:i w:val="0"/>
                <w:iCs/>
                <w:sz w:val="18"/>
                <w:szCs w:val="18"/>
                <w:lang w:val="es-MX"/>
              </w:rPr>
              <w:t>$</w:t>
            </w:r>
            <w:r w:rsidRPr="002B1564">
              <w:rPr>
                <w:rFonts w:asciiTheme="minorHAnsi" w:hAnsiTheme="minorHAnsi" w:cstheme="minorHAnsi"/>
                <w:i w:val="0"/>
                <w:iCs/>
                <w:sz w:val="20"/>
                <w:szCs w:val="20"/>
                <w:lang w:val="es-MX"/>
              </w:rPr>
              <w:t>29.222.874.743,00</w:t>
            </w:r>
            <w:r>
              <w:rPr>
                <w:rFonts w:asciiTheme="minorHAnsi" w:hAnsiTheme="minorHAnsi" w:cstheme="minorHAnsi"/>
                <w:i w:val="0"/>
                <w:iCs/>
                <w:sz w:val="18"/>
                <w:szCs w:val="18"/>
                <w:lang w:val="es-MX"/>
              </w:rPr>
              <w:t>.</w:t>
            </w:r>
          </w:p>
        </w:tc>
        <w:tc>
          <w:tcPr>
            <w:tcW w:w="2268" w:type="dxa"/>
          </w:tcPr>
          <w:p w:rsidR="002B1564" w:rsidRPr="001F17EE" w:rsidRDefault="002B1564" w:rsidP="001F17EE">
            <w:pPr>
              <w:jc w:val="center"/>
              <w:rPr>
                <w:rFonts w:asciiTheme="minorHAnsi" w:hAnsiTheme="minorHAnsi" w:cstheme="minorHAnsi"/>
                <w:i w:val="0"/>
                <w:iCs/>
                <w:sz w:val="18"/>
                <w:szCs w:val="18"/>
                <w:lang w:val="es-MX"/>
              </w:rPr>
            </w:pPr>
          </w:p>
        </w:tc>
      </w:tr>
      <w:tr w:rsidR="001F17EE" w:rsidTr="001160FF">
        <w:tc>
          <w:tcPr>
            <w:tcW w:w="2877" w:type="dxa"/>
          </w:tcPr>
          <w:p w:rsidR="001F17EE" w:rsidRPr="001F17EE" w:rsidRDefault="001F17EE" w:rsidP="004815F6">
            <w:pPr>
              <w:jc w:val="both"/>
              <w:rPr>
                <w:rFonts w:asciiTheme="minorHAnsi" w:hAnsiTheme="minorHAnsi" w:cstheme="minorHAnsi"/>
                <w:i w:val="0"/>
                <w:iCs/>
                <w:sz w:val="18"/>
                <w:szCs w:val="18"/>
                <w:lang w:val="es-MX"/>
              </w:rPr>
            </w:pPr>
            <w:r w:rsidRPr="001F17EE">
              <w:rPr>
                <w:rFonts w:asciiTheme="minorHAnsi" w:hAnsiTheme="minorHAnsi" w:cstheme="minorHAnsi"/>
                <w:i w:val="0"/>
                <w:iCs/>
                <w:sz w:val="18"/>
                <w:szCs w:val="18"/>
                <w:lang w:val="es-MX"/>
              </w:rPr>
              <w:t>Deterioro General de la Cartera de Crédito</w:t>
            </w:r>
            <w:r w:rsidR="002B1564">
              <w:rPr>
                <w:rFonts w:asciiTheme="minorHAnsi" w:hAnsiTheme="minorHAnsi" w:cstheme="minorHAnsi"/>
                <w:i w:val="0"/>
                <w:iCs/>
                <w:sz w:val="18"/>
                <w:szCs w:val="18"/>
                <w:lang w:val="es-MX"/>
              </w:rPr>
              <w:t>s</w:t>
            </w:r>
            <w:r w:rsidRPr="001F17EE">
              <w:rPr>
                <w:rFonts w:asciiTheme="minorHAnsi" w:hAnsiTheme="minorHAnsi" w:cstheme="minorHAnsi"/>
                <w:i w:val="0"/>
                <w:iCs/>
                <w:sz w:val="18"/>
                <w:szCs w:val="18"/>
                <w:lang w:val="es-MX"/>
              </w:rPr>
              <w:t xml:space="preserve"> Reportado </w:t>
            </w:r>
            <w:r w:rsidR="00882078">
              <w:rPr>
                <w:rFonts w:asciiTheme="minorHAnsi" w:hAnsiTheme="minorHAnsi" w:cstheme="minorHAnsi"/>
                <w:i w:val="0"/>
                <w:iCs/>
                <w:sz w:val="18"/>
                <w:szCs w:val="18"/>
                <w:lang w:val="es-MX"/>
              </w:rPr>
              <w:t xml:space="preserve">en la cuenta 146800 </w:t>
            </w:r>
          </w:p>
        </w:tc>
        <w:tc>
          <w:tcPr>
            <w:tcW w:w="1937" w:type="dxa"/>
          </w:tcPr>
          <w:p w:rsidR="001F17EE" w:rsidRPr="001F17EE" w:rsidRDefault="001F17EE" w:rsidP="001F17EE">
            <w:pPr>
              <w:jc w:val="right"/>
              <w:rPr>
                <w:rFonts w:asciiTheme="minorHAnsi" w:hAnsiTheme="minorHAnsi" w:cstheme="minorHAnsi"/>
                <w:i w:val="0"/>
                <w:iCs/>
                <w:sz w:val="18"/>
                <w:szCs w:val="18"/>
                <w:lang w:val="es-MX"/>
              </w:rPr>
            </w:pPr>
            <w:r w:rsidRPr="001F17EE">
              <w:rPr>
                <w:rFonts w:asciiTheme="minorHAnsi" w:hAnsiTheme="minorHAnsi" w:cstheme="minorHAnsi"/>
                <w:i w:val="0"/>
                <w:iCs/>
                <w:sz w:val="18"/>
                <w:szCs w:val="18"/>
                <w:lang w:val="es-MX"/>
              </w:rPr>
              <w:t>$1.226.314.817,00</w:t>
            </w:r>
          </w:p>
        </w:tc>
        <w:tc>
          <w:tcPr>
            <w:tcW w:w="2268" w:type="dxa"/>
          </w:tcPr>
          <w:p w:rsidR="001F17EE" w:rsidRPr="001F17EE" w:rsidRDefault="002B1564" w:rsidP="002B1564">
            <w:pPr>
              <w:jc w:val="center"/>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Corresponde al </w:t>
            </w:r>
            <w:r w:rsidR="001F17EE" w:rsidRPr="001F17EE">
              <w:rPr>
                <w:rFonts w:asciiTheme="minorHAnsi" w:hAnsiTheme="minorHAnsi" w:cstheme="minorHAnsi"/>
                <w:i w:val="0"/>
                <w:iCs/>
                <w:sz w:val="18"/>
                <w:szCs w:val="18"/>
                <w:lang w:val="es-MX"/>
              </w:rPr>
              <w:t>4.19%</w:t>
            </w:r>
            <w:r w:rsidR="001F17EE">
              <w:rPr>
                <w:rFonts w:asciiTheme="minorHAnsi" w:hAnsiTheme="minorHAnsi" w:cstheme="minorHAnsi"/>
                <w:i w:val="0"/>
                <w:iCs/>
                <w:sz w:val="18"/>
                <w:szCs w:val="18"/>
                <w:lang w:val="es-MX"/>
              </w:rPr>
              <w:t xml:space="preserve"> </w:t>
            </w:r>
            <w:r>
              <w:rPr>
                <w:rFonts w:asciiTheme="minorHAnsi" w:hAnsiTheme="minorHAnsi" w:cstheme="minorHAnsi"/>
                <w:i w:val="0"/>
                <w:iCs/>
                <w:sz w:val="18"/>
                <w:szCs w:val="18"/>
                <w:lang w:val="es-MX"/>
              </w:rPr>
              <w:t xml:space="preserve"> de total de la cartera de créditos bruta Reportado</w:t>
            </w:r>
          </w:p>
        </w:tc>
      </w:tr>
      <w:tr w:rsidR="001F17EE" w:rsidTr="001160FF">
        <w:tc>
          <w:tcPr>
            <w:tcW w:w="2877" w:type="dxa"/>
          </w:tcPr>
          <w:p w:rsidR="001F17EE" w:rsidRPr="001F17EE" w:rsidRDefault="001F17EE" w:rsidP="004815F6">
            <w:pPr>
              <w:jc w:val="both"/>
              <w:rPr>
                <w:rFonts w:asciiTheme="minorHAnsi" w:hAnsiTheme="minorHAnsi" w:cstheme="minorHAnsi"/>
                <w:i w:val="0"/>
                <w:iCs/>
                <w:sz w:val="18"/>
                <w:szCs w:val="18"/>
                <w:lang w:val="es-MX"/>
              </w:rPr>
            </w:pPr>
            <w:r w:rsidRPr="001F17EE">
              <w:rPr>
                <w:rFonts w:asciiTheme="minorHAnsi" w:hAnsiTheme="minorHAnsi" w:cstheme="minorHAnsi"/>
                <w:i w:val="0"/>
                <w:iCs/>
                <w:sz w:val="18"/>
                <w:szCs w:val="18"/>
                <w:lang w:val="es-MX"/>
              </w:rPr>
              <w:t>Deterioro General de la Cartera de Cr</w:t>
            </w:r>
            <w:r w:rsidR="00882078">
              <w:rPr>
                <w:rFonts w:asciiTheme="minorHAnsi" w:hAnsiTheme="minorHAnsi" w:cstheme="minorHAnsi"/>
                <w:i w:val="0"/>
                <w:iCs/>
                <w:sz w:val="18"/>
                <w:szCs w:val="18"/>
                <w:lang w:val="es-MX"/>
              </w:rPr>
              <w:t xml:space="preserve">édito Calculado según la norma </w:t>
            </w:r>
          </w:p>
        </w:tc>
        <w:tc>
          <w:tcPr>
            <w:tcW w:w="1937" w:type="dxa"/>
          </w:tcPr>
          <w:p w:rsidR="001F17EE" w:rsidRPr="001F17EE" w:rsidRDefault="001F17EE" w:rsidP="001F17EE">
            <w:pPr>
              <w:jc w:val="right"/>
              <w:rPr>
                <w:rFonts w:asciiTheme="minorHAnsi" w:hAnsiTheme="minorHAnsi" w:cstheme="minorHAnsi"/>
                <w:i w:val="0"/>
                <w:iCs/>
                <w:sz w:val="18"/>
                <w:szCs w:val="18"/>
                <w:lang w:val="es-MX"/>
              </w:rPr>
            </w:pPr>
            <w:r w:rsidRPr="001F17EE">
              <w:rPr>
                <w:rFonts w:asciiTheme="minorHAnsi" w:hAnsiTheme="minorHAnsi" w:cstheme="minorHAnsi"/>
                <w:i w:val="0"/>
                <w:iCs/>
                <w:sz w:val="18"/>
                <w:szCs w:val="18"/>
                <w:lang w:val="es-MX"/>
              </w:rPr>
              <w:t>$292.228.747,43</w:t>
            </w:r>
          </w:p>
        </w:tc>
        <w:tc>
          <w:tcPr>
            <w:tcW w:w="2268" w:type="dxa"/>
          </w:tcPr>
          <w:p w:rsidR="001F17EE" w:rsidRPr="001F17EE" w:rsidRDefault="002B1564" w:rsidP="002B1564">
            <w:pPr>
              <w:jc w:val="center"/>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Corresponde al </w:t>
            </w:r>
            <w:r w:rsidR="001F17EE" w:rsidRPr="001F17EE">
              <w:rPr>
                <w:rFonts w:asciiTheme="minorHAnsi" w:hAnsiTheme="minorHAnsi" w:cstheme="minorHAnsi"/>
                <w:i w:val="0"/>
                <w:iCs/>
                <w:sz w:val="18"/>
                <w:szCs w:val="18"/>
                <w:lang w:val="es-MX"/>
              </w:rPr>
              <w:t xml:space="preserve">1% </w:t>
            </w:r>
            <w:r>
              <w:rPr>
                <w:rFonts w:asciiTheme="minorHAnsi" w:hAnsiTheme="minorHAnsi" w:cstheme="minorHAnsi"/>
                <w:i w:val="0"/>
                <w:iCs/>
                <w:sz w:val="18"/>
                <w:szCs w:val="18"/>
                <w:lang w:val="es-MX"/>
              </w:rPr>
              <w:t>exigido como deterioro general de cartera de créditos bruta</w:t>
            </w:r>
          </w:p>
        </w:tc>
      </w:tr>
      <w:tr w:rsidR="001F17EE" w:rsidTr="001160FF">
        <w:tc>
          <w:tcPr>
            <w:tcW w:w="2877" w:type="dxa"/>
          </w:tcPr>
          <w:p w:rsidR="001F17EE" w:rsidRDefault="001F17EE" w:rsidP="001F17EE">
            <w:pPr>
              <w:jc w:val="both"/>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Valor Exceso de Deterioro General de la Cartera de Crédito Reportada </w:t>
            </w:r>
          </w:p>
        </w:tc>
        <w:tc>
          <w:tcPr>
            <w:tcW w:w="1937" w:type="dxa"/>
          </w:tcPr>
          <w:p w:rsidR="001F17EE" w:rsidRDefault="001F17EE" w:rsidP="001F17EE">
            <w:pPr>
              <w:jc w:val="right"/>
              <w:rPr>
                <w:rFonts w:asciiTheme="minorHAnsi" w:hAnsiTheme="minorHAnsi" w:cstheme="minorHAnsi"/>
                <w:i w:val="0"/>
                <w:iCs/>
                <w:sz w:val="18"/>
                <w:szCs w:val="18"/>
                <w:lang w:val="es-MX"/>
              </w:rPr>
            </w:pPr>
            <w:r>
              <w:rPr>
                <w:rFonts w:asciiTheme="minorHAnsi" w:hAnsiTheme="minorHAnsi" w:cstheme="minorHAnsi"/>
                <w:i w:val="0"/>
                <w:iCs/>
                <w:sz w:val="18"/>
                <w:szCs w:val="18"/>
                <w:lang w:val="es-MX"/>
              </w:rPr>
              <w:t>$934.086.069,57</w:t>
            </w:r>
          </w:p>
        </w:tc>
        <w:tc>
          <w:tcPr>
            <w:tcW w:w="2268" w:type="dxa"/>
          </w:tcPr>
          <w:p w:rsidR="001F17EE" w:rsidRDefault="002B1564" w:rsidP="002B1564">
            <w:pPr>
              <w:jc w:val="center"/>
              <w:rPr>
                <w:rFonts w:asciiTheme="minorHAnsi" w:hAnsiTheme="minorHAnsi" w:cstheme="minorHAnsi"/>
                <w:i w:val="0"/>
                <w:iCs/>
                <w:sz w:val="18"/>
                <w:szCs w:val="18"/>
                <w:lang w:val="es-MX"/>
              </w:rPr>
            </w:pPr>
            <w:r>
              <w:rPr>
                <w:rFonts w:asciiTheme="minorHAnsi" w:hAnsiTheme="minorHAnsi" w:cstheme="minorHAnsi"/>
                <w:i w:val="0"/>
                <w:iCs/>
                <w:sz w:val="18"/>
                <w:szCs w:val="18"/>
                <w:lang w:val="es-MX"/>
              </w:rPr>
              <w:t>No se tiene en cuenta como capital regulatorio</w:t>
            </w:r>
          </w:p>
        </w:tc>
      </w:tr>
      <w:tr w:rsidR="002B1564" w:rsidTr="001160FF">
        <w:tc>
          <w:tcPr>
            <w:tcW w:w="2877" w:type="dxa"/>
          </w:tcPr>
          <w:p w:rsidR="002B1564" w:rsidRDefault="002B1564" w:rsidP="004815F6">
            <w:pPr>
              <w:jc w:val="both"/>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Total Activos Ponderados por Nivel de Riesgos </w:t>
            </w:r>
          </w:p>
        </w:tc>
        <w:tc>
          <w:tcPr>
            <w:tcW w:w="1937" w:type="dxa"/>
          </w:tcPr>
          <w:p w:rsidR="002B1564" w:rsidRPr="002B1564" w:rsidRDefault="002B1564" w:rsidP="001F17EE">
            <w:pPr>
              <w:jc w:val="right"/>
              <w:rPr>
                <w:rFonts w:asciiTheme="minorHAnsi" w:hAnsiTheme="minorHAnsi" w:cstheme="minorHAnsi"/>
                <w:i w:val="0"/>
                <w:iCs/>
                <w:sz w:val="20"/>
                <w:szCs w:val="20"/>
                <w:lang w:val="es-MX"/>
              </w:rPr>
            </w:pPr>
            <w:r w:rsidRPr="002B1564">
              <w:rPr>
                <w:rFonts w:asciiTheme="minorHAnsi" w:hAnsiTheme="minorHAnsi" w:cstheme="minorHAnsi"/>
                <w:i w:val="0"/>
                <w:iCs/>
                <w:sz w:val="20"/>
                <w:szCs w:val="20"/>
                <w:lang w:val="es-MX"/>
              </w:rPr>
              <w:t>$15.682.893.016,00</w:t>
            </w:r>
          </w:p>
        </w:tc>
        <w:tc>
          <w:tcPr>
            <w:tcW w:w="2268" w:type="dxa"/>
          </w:tcPr>
          <w:p w:rsidR="002B1564" w:rsidRDefault="002B1564" w:rsidP="002B1564">
            <w:pPr>
              <w:jc w:val="center"/>
              <w:rPr>
                <w:rFonts w:asciiTheme="minorHAnsi" w:hAnsiTheme="minorHAnsi" w:cstheme="minorHAnsi"/>
                <w:i w:val="0"/>
                <w:iCs/>
                <w:sz w:val="18"/>
                <w:szCs w:val="18"/>
                <w:lang w:val="es-MX"/>
              </w:rPr>
            </w:pPr>
            <w:r>
              <w:rPr>
                <w:rFonts w:asciiTheme="minorHAnsi" w:hAnsiTheme="minorHAnsi" w:cstheme="minorHAnsi"/>
                <w:i w:val="0"/>
                <w:iCs/>
                <w:sz w:val="18"/>
                <w:szCs w:val="18"/>
                <w:lang w:val="es-MX"/>
              </w:rPr>
              <w:t>Se multiplica por el 1.25</w:t>
            </w:r>
          </w:p>
        </w:tc>
      </w:tr>
      <w:tr w:rsidR="001F17EE" w:rsidTr="001160FF">
        <w:tc>
          <w:tcPr>
            <w:tcW w:w="2877" w:type="dxa"/>
          </w:tcPr>
          <w:p w:rsidR="001F17EE" w:rsidRPr="001F17EE" w:rsidRDefault="001F17EE" w:rsidP="004815F6">
            <w:pPr>
              <w:jc w:val="both"/>
              <w:rPr>
                <w:rFonts w:asciiTheme="minorHAnsi" w:hAnsiTheme="minorHAnsi" w:cstheme="minorHAnsi"/>
                <w:i w:val="0"/>
                <w:iCs/>
                <w:sz w:val="18"/>
                <w:szCs w:val="18"/>
                <w:lang w:val="es-MX"/>
              </w:rPr>
            </w:pPr>
            <w:r>
              <w:rPr>
                <w:rFonts w:asciiTheme="minorHAnsi" w:hAnsiTheme="minorHAnsi" w:cstheme="minorHAnsi"/>
                <w:i w:val="0"/>
                <w:iCs/>
                <w:sz w:val="18"/>
                <w:szCs w:val="18"/>
                <w:lang w:val="es-MX"/>
              </w:rPr>
              <w:t xml:space="preserve">1.25% del total de Activos Ponderados por nivel de Riesgo </w:t>
            </w:r>
          </w:p>
        </w:tc>
        <w:tc>
          <w:tcPr>
            <w:tcW w:w="1937" w:type="dxa"/>
          </w:tcPr>
          <w:p w:rsidR="001F17EE" w:rsidRPr="001F17EE" w:rsidRDefault="001F17EE" w:rsidP="001F17EE">
            <w:pPr>
              <w:jc w:val="right"/>
              <w:rPr>
                <w:rFonts w:asciiTheme="minorHAnsi" w:hAnsiTheme="minorHAnsi" w:cstheme="minorHAnsi"/>
                <w:i w:val="0"/>
                <w:iCs/>
                <w:sz w:val="18"/>
                <w:szCs w:val="18"/>
                <w:lang w:val="es-MX"/>
              </w:rPr>
            </w:pPr>
            <w:r>
              <w:rPr>
                <w:rFonts w:asciiTheme="minorHAnsi" w:hAnsiTheme="minorHAnsi" w:cstheme="minorHAnsi"/>
                <w:i w:val="0"/>
                <w:iCs/>
                <w:sz w:val="18"/>
                <w:szCs w:val="18"/>
                <w:lang w:val="es-MX"/>
              </w:rPr>
              <w:t>$196.036.162,70</w:t>
            </w:r>
          </w:p>
        </w:tc>
        <w:tc>
          <w:tcPr>
            <w:tcW w:w="2268" w:type="dxa"/>
          </w:tcPr>
          <w:p w:rsidR="001F17EE" w:rsidRPr="001F17EE" w:rsidRDefault="001F17EE" w:rsidP="002B1564">
            <w:pPr>
              <w:jc w:val="center"/>
              <w:rPr>
                <w:rFonts w:asciiTheme="minorHAnsi" w:hAnsiTheme="minorHAnsi" w:cstheme="minorHAnsi"/>
                <w:i w:val="0"/>
                <w:iCs/>
                <w:sz w:val="18"/>
                <w:szCs w:val="18"/>
                <w:lang w:val="es-MX"/>
              </w:rPr>
            </w:pPr>
            <w:r>
              <w:rPr>
                <w:rFonts w:asciiTheme="minorHAnsi" w:hAnsiTheme="minorHAnsi" w:cstheme="minorHAnsi"/>
                <w:i w:val="0"/>
                <w:iCs/>
                <w:sz w:val="18"/>
                <w:szCs w:val="18"/>
                <w:lang w:val="es-MX"/>
              </w:rPr>
              <w:t>Valor máximo permitido como capital Regulatorio</w:t>
            </w:r>
          </w:p>
        </w:tc>
      </w:tr>
    </w:tbl>
    <w:p w:rsidR="002B1564" w:rsidRDefault="002B1564" w:rsidP="004815F6">
      <w:pPr>
        <w:ind w:left="426"/>
        <w:jc w:val="both"/>
        <w:rPr>
          <w:i w:val="0"/>
          <w:iCs/>
          <w:sz w:val="22"/>
          <w:szCs w:val="22"/>
          <w:lang w:val="es-MX"/>
        </w:rPr>
      </w:pPr>
    </w:p>
    <w:p w:rsidR="001160FF" w:rsidRDefault="001160FF" w:rsidP="004815F6">
      <w:pPr>
        <w:ind w:left="426"/>
        <w:jc w:val="both"/>
        <w:rPr>
          <w:i w:val="0"/>
          <w:iCs/>
          <w:sz w:val="22"/>
          <w:szCs w:val="22"/>
          <w:lang w:val="es-MX"/>
        </w:rPr>
      </w:pPr>
      <w:r>
        <w:rPr>
          <w:i w:val="0"/>
          <w:iCs/>
          <w:sz w:val="22"/>
          <w:szCs w:val="22"/>
          <w:lang w:val="es-MX"/>
        </w:rPr>
        <w:t xml:space="preserve">En nuestro ejemplo, el Fondo de Empleados XX, podrá ponderar al corte de diciembre de 2017, el 100% como capital regulatorio en el patrimonio adicional el valor correspondiente a la suma de $196.036.162,70 en razón a que el 1% calculado como deterioro general de la cartera de créditos es superior al 1.25% del total de activos ponderados por nivel de riesgo. </w:t>
      </w:r>
    </w:p>
    <w:p w:rsidR="001160FF" w:rsidRDefault="001160FF" w:rsidP="004815F6">
      <w:pPr>
        <w:ind w:left="426"/>
        <w:jc w:val="both"/>
        <w:rPr>
          <w:i w:val="0"/>
          <w:iCs/>
          <w:sz w:val="22"/>
          <w:szCs w:val="22"/>
          <w:lang w:val="es-MX"/>
        </w:rPr>
      </w:pPr>
    </w:p>
    <w:p w:rsidR="00C32E1A" w:rsidRPr="00C32E1A" w:rsidRDefault="000F39FB" w:rsidP="00C32E1A">
      <w:pPr>
        <w:jc w:val="both"/>
        <w:rPr>
          <w:i w:val="0"/>
          <w:sz w:val="22"/>
          <w:szCs w:val="22"/>
        </w:rPr>
      </w:pPr>
      <w:r>
        <w:rPr>
          <w:i w:val="0"/>
          <w:sz w:val="22"/>
          <w:szCs w:val="22"/>
        </w:rPr>
        <w:t>L</w:t>
      </w:r>
      <w:r w:rsidR="00C32E1A" w:rsidRPr="00C32E1A">
        <w:rPr>
          <w:i w:val="0"/>
          <w:sz w:val="22"/>
          <w:szCs w:val="22"/>
        </w:rPr>
        <w:t>a sumatoria de los anteriores conceptos constituye el patrimonio adicional. En todo caso, el valor total del patrimonio adicional no podrá exceder del cien por ciento (100%) del patrimonio básico incluyendo las deducciones.</w:t>
      </w:r>
    </w:p>
    <w:p w:rsidR="00C32E1A" w:rsidRDefault="00C32E1A" w:rsidP="00231877">
      <w:pPr>
        <w:jc w:val="both"/>
        <w:rPr>
          <w:i w:val="0"/>
          <w:iCs/>
          <w:sz w:val="22"/>
          <w:szCs w:val="22"/>
          <w:lang w:val="es-MX"/>
        </w:rPr>
      </w:pPr>
    </w:p>
    <w:p w:rsidR="000F39FB" w:rsidRPr="000F39FB" w:rsidRDefault="000F39FB" w:rsidP="000F39FB">
      <w:pPr>
        <w:pStyle w:val="Prrafodelista"/>
        <w:numPr>
          <w:ilvl w:val="0"/>
          <w:numId w:val="8"/>
        </w:numPr>
        <w:ind w:left="567" w:hanging="567"/>
        <w:jc w:val="both"/>
        <w:rPr>
          <w:b/>
          <w:i w:val="0"/>
          <w:iCs/>
          <w:sz w:val="22"/>
          <w:szCs w:val="22"/>
          <w:lang w:val="es-MX"/>
        </w:rPr>
      </w:pPr>
      <w:r w:rsidRPr="000F39FB">
        <w:rPr>
          <w:b/>
          <w:i w:val="0"/>
          <w:iCs/>
          <w:sz w:val="22"/>
          <w:szCs w:val="22"/>
          <w:lang w:val="es-MX"/>
        </w:rPr>
        <w:t xml:space="preserve">Ponderación de Activos y Contingencias por su nivel de riesgo </w:t>
      </w:r>
    </w:p>
    <w:p w:rsidR="000F39FB" w:rsidRPr="000F39FB" w:rsidRDefault="000F39FB" w:rsidP="000F39FB">
      <w:pPr>
        <w:jc w:val="both"/>
        <w:rPr>
          <w:i w:val="0"/>
          <w:iCs/>
          <w:sz w:val="22"/>
          <w:szCs w:val="22"/>
          <w:lang w:val="es-MX"/>
        </w:rPr>
      </w:pPr>
    </w:p>
    <w:p w:rsidR="000F39FB" w:rsidRPr="000F39FB" w:rsidRDefault="000F39FB" w:rsidP="000F39FB">
      <w:pPr>
        <w:tabs>
          <w:tab w:val="left" w:pos="709"/>
        </w:tabs>
        <w:ind w:left="-11"/>
        <w:jc w:val="both"/>
        <w:rPr>
          <w:i w:val="0"/>
          <w:sz w:val="22"/>
          <w:szCs w:val="22"/>
        </w:rPr>
      </w:pPr>
      <w:r w:rsidRPr="000F39FB">
        <w:rPr>
          <w:i w:val="0"/>
          <w:sz w:val="22"/>
          <w:szCs w:val="22"/>
        </w:rPr>
        <w:t xml:space="preserve">La clasificación de los activos de acuerdo con su ponderación de riesgo en sus respectivas categorías, atendiendo lo señalado en </w:t>
      </w:r>
      <w:r>
        <w:rPr>
          <w:i w:val="0"/>
          <w:sz w:val="22"/>
          <w:szCs w:val="22"/>
        </w:rPr>
        <w:t xml:space="preserve">los </w:t>
      </w:r>
      <w:r w:rsidRPr="000F39FB">
        <w:rPr>
          <w:i w:val="0"/>
          <w:sz w:val="22"/>
          <w:szCs w:val="22"/>
        </w:rPr>
        <w:t>artículo</w:t>
      </w:r>
      <w:r>
        <w:rPr>
          <w:i w:val="0"/>
          <w:sz w:val="22"/>
          <w:szCs w:val="22"/>
        </w:rPr>
        <w:t>s</w:t>
      </w:r>
      <w:r w:rsidRPr="000F39FB">
        <w:rPr>
          <w:i w:val="0"/>
          <w:sz w:val="22"/>
          <w:szCs w:val="22"/>
        </w:rPr>
        <w:t xml:space="preserve"> </w:t>
      </w:r>
      <w:r>
        <w:rPr>
          <w:i w:val="0"/>
          <w:sz w:val="22"/>
          <w:szCs w:val="22"/>
        </w:rPr>
        <w:t xml:space="preserve">2.11.5.2.1.7 al 2.11.5.2.1.11 </w:t>
      </w:r>
      <w:r w:rsidR="001160FF">
        <w:rPr>
          <w:i w:val="0"/>
          <w:iCs/>
          <w:sz w:val="22"/>
          <w:szCs w:val="22"/>
          <w:lang w:val="es-MX"/>
        </w:rPr>
        <w:t xml:space="preserve">del </w:t>
      </w:r>
      <w:r w:rsidR="001160FF" w:rsidRPr="00AB7D4E">
        <w:rPr>
          <w:i w:val="0"/>
          <w:sz w:val="22"/>
          <w:szCs w:val="22"/>
        </w:rPr>
        <w:t xml:space="preserve">Decreto </w:t>
      </w:r>
      <w:r w:rsidR="001160FF">
        <w:rPr>
          <w:i w:val="0"/>
          <w:sz w:val="22"/>
          <w:szCs w:val="22"/>
        </w:rPr>
        <w:t>1068 de 2015 que fue adicionado por el artículo 1º del Decreto 344 de 2017</w:t>
      </w:r>
      <w:r w:rsidR="001160FF">
        <w:rPr>
          <w:i w:val="0"/>
          <w:iCs/>
          <w:sz w:val="22"/>
          <w:szCs w:val="22"/>
          <w:lang w:val="es-MX"/>
        </w:rPr>
        <w:t>,</w:t>
      </w:r>
      <w:r w:rsidRPr="000F39FB">
        <w:rPr>
          <w:i w:val="0"/>
          <w:sz w:val="22"/>
          <w:szCs w:val="22"/>
        </w:rPr>
        <w:t xml:space="preserve"> se efectuará con arreglo al </w:t>
      </w:r>
      <w:r>
        <w:rPr>
          <w:i w:val="0"/>
          <w:sz w:val="22"/>
          <w:szCs w:val="22"/>
        </w:rPr>
        <w:t>Catálogo Único de Información Financiera con fines de Supervisión v</w:t>
      </w:r>
      <w:r w:rsidRPr="000F39FB">
        <w:rPr>
          <w:i w:val="0"/>
          <w:sz w:val="22"/>
          <w:szCs w:val="22"/>
        </w:rPr>
        <w:t xml:space="preserve">igente para el sector solidario, según se indica a continuación. </w:t>
      </w:r>
    </w:p>
    <w:p w:rsidR="000F39FB" w:rsidRPr="000F39FB" w:rsidRDefault="000F39FB" w:rsidP="000F39FB">
      <w:pPr>
        <w:tabs>
          <w:tab w:val="left" w:pos="709"/>
        </w:tabs>
        <w:ind w:left="-11"/>
        <w:jc w:val="both"/>
        <w:rPr>
          <w:i w:val="0"/>
          <w:sz w:val="22"/>
          <w:szCs w:val="22"/>
        </w:rPr>
      </w:pPr>
    </w:p>
    <w:p w:rsidR="000F39FB" w:rsidRPr="000F39FB" w:rsidRDefault="000F39FB" w:rsidP="000F39FB">
      <w:pPr>
        <w:tabs>
          <w:tab w:val="left" w:pos="709"/>
        </w:tabs>
        <w:ind w:left="-11"/>
        <w:jc w:val="both"/>
        <w:rPr>
          <w:i w:val="0"/>
          <w:sz w:val="22"/>
          <w:szCs w:val="22"/>
        </w:rPr>
      </w:pPr>
      <w:r w:rsidRPr="000F39FB">
        <w:rPr>
          <w:i w:val="0"/>
          <w:sz w:val="22"/>
          <w:szCs w:val="22"/>
        </w:rPr>
        <w:t>Los activos se valorarán por su costo</w:t>
      </w:r>
      <w:r>
        <w:rPr>
          <w:i w:val="0"/>
          <w:sz w:val="22"/>
          <w:szCs w:val="22"/>
        </w:rPr>
        <w:t xml:space="preserve"> ajustado </w:t>
      </w:r>
      <w:r w:rsidRPr="000F39FB">
        <w:rPr>
          <w:i w:val="0"/>
          <w:sz w:val="22"/>
          <w:szCs w:val="22"/>
        </w:rPr>
        <w:t xml:space="preserve">y se ponderarán netos de su respectiva provisión. </w:t>
      </w:r>
      <w:r>
        <w:rPr>
          <w:i w:val="0"/>
          <w:sz w:val="22"/>
          <w:szCs w:val="22"/>
        </w:rPr>
        <w:t xml:space="preserve"> </w:t>
      </w:r>
    </w:p>
    <w:p w:rsidR="000F39FB" w:rsidRDefault="000F39FB" w:rsidP="000F39FB">
      <w:pPr>
        <w:jc w:val="both"/>
        <w:rPr>
          <w:i w:val="0"/>
          <w:iCs/>
          <w:sz w:val="22"/>
          <w:szCs w:val="22"/>
          <w:lang w:val="es-MX"/>
        </w:rPr>
      </w:pPr>
    </w:p>
    <w:tbl>
      <w:tblPr>
        <w:tblW w:w="8222" w:type="dxa"/>
        <w:tblInd w:w="562" w:type="dxa"/>
        <w:tblCellMar>
          <w:left w:w="70" w:type="dxa"/>
          <w:right w:w="70" w:type="dxa"/>
        </w:tblCellMar>
        <w:tblLook w:val="04A0" w:firstRow="1" w:lastRow="0" w:firstColumn="1" w:lastColumn="0" w:noHBand="0" w:noVBand="1"/>
      </w:tblPr>
      <w:tblGrid>
        <w:gridCol w:w="980"/>
        <w:gridCol w:w="5719"/>
        <w:gridCol w:w="1523"/>
      </w:tblGrid>
      <w:tr w:rsidR="000F39FB" w:rsidRPr="000F39FB" w:rsidTr="008B19DB">
        <w:trPr>
          <w:trHeight w:val="495"/>
          <w:tblHead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9FB" w:rsidRPr="000F39FB" w:rsidRDefault="000F39FB" w:rsidP="000F39FB">
            <w:pPr>
              <w:suppressAutoHyphens w:val="0"/>
              <w:jc w:val="center"/>
              <w:rPr>
                <w:rFonts w:ascii="Calibri" w:hAnsi="Calibri" w:cs="Calibri"/>
                <w:b/>
                <w:bCs/>
                <w:i w:val="0"/>
                <w:color w:val="000000"/>
                <w:sz w:val="22"/>
                <w:szCs w:val="22"/>
                <w:lang w:eastAsia="es-CO"/>
              </w:rPr>
            </w:pPr>
            <w:r w:rsidRPr="000F39FB">
              <w:rPr>
                <w:rFonts w:ascii="Calibri" w:hAnsi="Calibri" w:cs="Calibri"/>
                <w:b/>
                <w:bCs/>
                <w:i w:val="0"/>
                <w:color w:val="000000"/>
                <w:sz w:val="22"/>
                <w:szCs w:val="22"/>
                <w:lang w:eastAsia="es-CO"/>
              </w:rPr>
              <w:lastRenderedPageBreak/>
              <w:t xml:space="preserve">CODIGO </w:t>
            </w:r>
          </w:p>
        </w:tc>
        <w:tc>
          <w:tcPr>
            <w:tcW w:w="5819" w:type="dxa"/>
            <w:tcBorders>
              <w:top w:val="single" w:sz="4" w:space="0" w:color="auto"/>
              <w:left w:val="nil"/>
              <w:bottom w:val="single" w:sz="4" w:space="0" w:color="auto"/>
              <w:right w:val="single" w:sz="4" w:space="0" w:color="auto"/>
            </w:tcBorders>
            <w:shd w:val="clear" w:color="auto" w:fill="auto"/>
            <w:vAlign w:val="center"/>
            <w:hideMark/>
          </w:tcPr>
          <w:p w:rsidR="000F39FB" w:rsidRPr="000F39FB" w:rsidRDefault="000F39FB" w:rsidP="000F39FB">
            <w:pPr>
              <w:suppressAutoHyphens w:val="0"/>
              <w:jc w:val="center"/>
              <w:rPr>
                <w:rFonts w:ascii="Calibri" w:hAnsi="Calibri" w:cs="Calibri"/>
                <w:b/>
                <w:bCs/>
                <w:i w:val="0"/>
                <w:color w:val="000000"/>
                <w:sz w:val="22"/>
                <w:szCs w:val="22"/>
                <w:lang w:eastAsia="es-CO"/>
              </w:rPr>
            </w:pPr>
            <w:r w:rsidRPr="000F39FB">
              <w:rPr>
                <w:rFonts w:ascii="Calibri" w:hAnsi="Calibri" w:cs="Calibri"/>
                <w:b/>
                <w:bCs/>
                <w:i w:val="0"/>
                <w:color w:val="000000"/>
                <w:sz w:val="22"/>
                <w:szCs w:val="22"/>
                <w:lang w:eastAsia="es-CO"/>
              </w:rPr>
              <w:t xml:space="preserve">DENOMINACIÓN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0F39FB" w:rsidRPr="000F39FB" w:rsidRDefault="000F39FB" w:rsidP="000F39FB">
            <w:pPr>
              <w:suppressAutoHyphens w:val="0"/>
              <w:jc w:val="center"/>
              <w:rPr>
                <w:rFonts w:ascii="Calibri" w:hAnsi="Calibri" w:cs="Calibri"/>
                <w:b/>
                <w:bCs/>
                <w:i w:val="0"/>
                <w:color w:val="000000"/>
                <w:sz w:val="22"/>
                <w:szCs w:val="22"/>
                <w:lang w:eastAsia="es-CO"/>
              </w:rPr>
            </w:pPr>
            <w:r w:rsidRPr="000F39FB">
              <w:rPr>
                <w:rFonts w:ascii="Calibri" w:hAnsi="Calibri" w:cs="Calibri"/>
                <w:b/>
                <w:bCs/>
                <w:i w:val="0"/>
                <w:color w:val="000000"/>
                <w:sz w:val="22"/>
                <w:szCs w:val="22"/>
                <w:lang w:eastAsia="es-CO"/>
              </w:rPr>
              <w:t>PONDERACION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1000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1100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EFECTIVO Y EQUIVALENTE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1105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CAJA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CAJA GENERAL</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CAJA MENOR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1110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BANCOS Y OTRAS ENTIDADES CON ACTIVIDAD FINANCIERA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BANCOS COMERCIALES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BANCOS COOPERATIVOS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ENTIDADES SECTOR SOLIDARIO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ENTIDADES DEL EXTERIOR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OTRAS ENTIDADES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1115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EQUIVALENTES AL  EFECTIVO (compromiso de pago)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DEPÓSITOS A CORTO PLAZO, CLASIFICADOS COMO EQUIVALENTES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A CORTO PLAZO, CLASIFICADOS COMO EQUIVALENTES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111515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FIDUCIARIOS A LA VISTA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1120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EFECTIVO DE USO RESTRINGIDO Y/O CON DESTINACIÓN ESPECÍFICA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 LIQUIDEZ - FONDOS ADMINISTRADOS POR SOCIEDADES FIDUCIARIAS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 LIQUIDEZ - CUENTAS DE AHORRO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 LIQUIDEZ - FONDOS DE VALORES ADMINISTRADOS POR SOCIEDADES COMISIONISTAS DE BOLSA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 LIQUIDEZ - CERTIFICADO DE DEPÓSITO A TÉRMINO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 DE LIQUIDEZ - CERTIFICADOS DE AHORRO A TÉRMINO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FIDUCIARIOS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ESPECIALES - FONDOS SOCIALES Y MUTUALES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FIDEICOMISO FONDO DE REPOSICION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FIDEICOMISO DE ADMINISTRACIÓN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112030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FONDOS ESPECIALES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DE CAMBIO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DEPÓSITOS ENTREGADOS EN GARANTÍA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112045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REMESAS EN TRÁNSITO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1203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FONDO DE LIQUIDEZ</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INSTITUCIONES VIGILADAS POR LA SUPERINTENDENCIA FINANCIERA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CERTIFICADO DE DEPÓSITO A TÉRMINO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ADMINISTRADOS POR SOCIEDADES FIDUCIARIAS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FONDOS DE VALORES ADMINISTRADOS POR SOCIEDADES COMISIONISTAS DE BOLSA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PATRIMONIO AUTONOMO ADMINISTRADO POR SOCIEDADES FIDUCIARIAS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120399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FONDO DE LIQUIDEZ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1204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NEGOCIABLES EN TITULOS DE DEUDA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INTERNA EMITIDOS O GARANTIZADOS POR LA NACION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EXTERNA EMITIDOS O GARANTIZADOS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 DE DEUDA 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FOGAFIN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FOGACOOP</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EL BANCO DE LA REPUBLICA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BONOS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SUBYACENTES DISTINTOS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120411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INSTITUCIONES VIGILADAS POR LA SUPERINTENDENCIA FINANCIERA (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ENTIDADES NO VIGILADAS POR LA SUPERINTENDENCIA FINANCIERA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GOBIERNOS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BANCOS CENTRALES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O ACEPTADOS POR BANCOS DEL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120418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ORGANISMOS MULTILATERALES DE CREDITO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120442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RESIDENTES EN 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120499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NEGOCIABLES EN TITULOS DE DEUDA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1206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NEGOCIABLES EN TITULOS PARTICIPATIVOS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COMUNES ORDINARIOS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COMUNES ESPECIALES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 DE VALORES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PARTICIPATIVOS DERIVADOS EN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MIXTOS DERIVADOS DE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MUTUOS DE INVERSION INTERNACIONALES QUE INVIERTAN EXCLUSIVAMENTE EN TITULOS DE RENTA FIJA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PARTICIPACIONES EN FONDOS INDICE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120612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MUTUOS DE INVERSION INTERNACIONALES QUE INVIERTAN EXCLUSIVAMENTE EN RENTA VARIABLE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120613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DE INVERSION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120614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DE PENSIONES Y CESANTIAS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120699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NEGOCIABLES EN TITULOS PARTICIPATIVOS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1208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PARA MANTENER HASTA EL VENCIMIENTO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INTERNA EMITIDOS O GARANIZADOS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EXTERNA EMITIDOS O GARANIZADOS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 DE DEUDA 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FOGAFIN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FOGACOOP</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EL BANCO DE LA REPUBLICA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BONOS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SUBYACENTES DISTINTOS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INSTITUCIONES VIGILADAS POR LA SUPERINTENDENCIA FINANCIERA (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ENTIDADES NO VIGILADAS POR LA SUPERINTENDENCIA FINANCIERA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GOBIERNOS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BANCOS CENTRALES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O ACEPTADOS POR BANCOS DEL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120818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ORGANISMOS MULTILATERALES DE CREDITO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120842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RESIDENTES EN 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120895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120899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PARA MANTENER HASTA EL VENCIMIENTO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1213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DISPONIBLES PARA LA VENTA EN TITULOS DE DEUDA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INTERNA EMITIDOS O GARANTIZADOS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EXTERNA EMITIDOS O GARANTIZADOS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 DE DEUDA 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FOGAFIN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FOGACOOP</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EL BANCO DE LA REPUBLICA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BONOS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SUBYACENTES DISTINTOS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INSTITUCIONES VIGILADAS POR LA SUPERINTENDENCIA FINANCIERA (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ENTIDADES NO VIGILADAS POR LA SUPERINTENDENCIA FINANCIERA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GOBIERNOS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BANCOS CENTRALES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O ACEPTADOS POR BANCOS DEL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121318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ORGANISMOS MULTILATERALES DE CREDITO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121342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RESIDENTES EN 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121395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121399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DISPONIBLES PARA LA VENTA EN TITULOS DE DEUDA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1216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DISPONIBLES PARA LA VENTA EN TITULOS PARTICIPATIVOS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BAJA Y MINIMA LIQUIDEZ BURSATIL O SIN COTIZACION EN BOLSA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PARTICIPATIVOS DERIVADOS EN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MIXTOS DERIVADOS DE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RENTA VARIABLE CONTABILIZADOS AL VALOR RAZONABLE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TÍTULOS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121699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DISPONIBLES PARA LA VENTA EN TITULOS PARTICIPATIVOS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1218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EN ENTIDADES SUBSIDIARIAS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121801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COSTO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121802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121803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INVERSIONES CONTABILIZADAS POR EL METODO DE PARTICIPACION PATRIMONIAL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121899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EN ENTIDADES SUBSIDIARIAS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1220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EN ENTIDADES ASOCIADAS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122001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COSTO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122002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122003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INVERSIONES CONTABILIZADAS POR EL METODO DE PARTICIPACION PATRIMONIAL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EN ENTIDADES ASOCIADAS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1222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EN OPERACIONES CONJUNTAS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122201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COSTO (OPERADORES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122202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 CON CAMBIOS EN EL RESULTADO (OPERADORES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122203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 CON CAMBIOS EN EL ORI (OPERADORES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122299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EN INVERSIONES EN OPERACIONES CONJUNTAS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1224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EN NEGOCIOS CONJUNTOS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122401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COSTO (PARTICIPANTES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122402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 CON CAMBIOS EN EL RESULTADO (PARTICIPANTES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122403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AL VALOR RAZONABLE CON CAMBIOS EN EL ORI (PARTICIPANTES SIN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122404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CONTABILIZADAS POR EL METODO DE PARTICIPACION PATRIMONIAL (PARTÍCIPES CON CONTROL CONJUNTO)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122499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EN INVERSIONES EN NEGOCIOS CONJUNTOS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1226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OTRAS INVERSIONES EN INSTRUMENTOS DE PATRIMONIO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SOCIALES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SOCIALES EN ENTIDADES ECONOMÍA SOLIDARIA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EN ASOCIACIONES O AGREMIACIONES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EN OTRAS ENTIDADES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122699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EN INSTRUMENTOS DE PATRIMONIO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1228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CONTABILIZADAS A COSTO AMORTIZADO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INTERNA EMITIDOS O GARANTIZADOS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 DEUDA PUBLICA EXTERNA EMITIDOS O GARANTIZADOS POR LA NACION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 DE DEUDA 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FOGAFIN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EL FOGACOOP</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EL BANCO DE LA REPUBLICA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122807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BONOS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HIPOTECARIOS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DEL CONTENIDO CREDITICIO DERIVADOS DE PROCESO DE TITULARIZACION SUBYACENTES DISTINTOS DE CARTERA HIPOTECARIA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ACEPTADOS O GARANTIZADOS POR INSTITUCIONES VIGILADAS POR LA SUPERINTENDENCIA FINANCIERA (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ENTIDADES NO VIGILADAS POR LA SUPERINTENDENCIA FINANCIERA (INCLUIDOS LOS BONOS OBLIGATORIA U OPCIONALMENTE CONVERTIBLES EN ACCIONES)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GOBIERNOS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BANCOS CENTRALES EXTRANJEROS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O ACEPTADOS POR BANCOS DEL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122818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AVALADOS O GARANTIZADOS POR ORGANISMOS MULTILATERALES DE CREDITO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122842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EMITIDOS POR RESIDENTES EN EL EXTERIOR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TITULOS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122899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CONTABILIZADAS A COSTO AMORTIZADO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1230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CONTABILIZADAS A VALOR RAZONABLE CON CAMBIOS EN EL RESULTADO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BAJA Y MINIMA LIQUIDEZ BURSATIL O SIN COTIZACION EN BOLSA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COMUNES ORDINARIOS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COMUNES ESPECIALES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 DE VALORES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123008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PARTICIPATIVOS DERIVADOS EN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TITULOS MIXTOS DERIVADOS DE PROCESOS DE TITULARIZACION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PARTICIPACIONES EN FONDOS MUTUOS DE INVERSION INTERNACIONALES QUE INVIERTAN EXCLUSIVAMENTE EN TITULOS DE RENTA FIJA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123011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PARTICIPACIONES EN FONDOS INDICE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123012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MUTUOS DE INVERSION INTERNACIONALES QUE INVIERTAN EXCLUSIVAMENTE EN RENTA VARIABLE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123013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DE INVERSION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123014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PARTICIPACION EN FONDOS DE PENSIONES Y CESANTIAS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CONTABILIZADAS A VALOR RAZONABLE CON CAMBIOS EN EL RESULTADO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1232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CONTABILIZADAS A VALOR RAZONABLE CON CAMBIOS EN EL ORI</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ALTA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MEDIA LIQUIDEZ BURSATIL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ACCIONES CON BAJA Y MINIMA LIQUIDEZ BURSATIL O SIN COTIZACION EN BOLSA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OTRAS INVERSIONES CONTABILIZADAS AL VALOR RAZONABLE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123299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INVERSIONES CONTABILIZADAS A VALOR RAZONABLE CON CAMBIOS EN EL ORI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1234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INVERSIONES A VALOR DE MERCADO CON CAMBIOS EN EL PATRIMONIO (ORI)</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1236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INSTRUMENTOS DERIVADOS CON FINES DE ESPECULACION MEDIDOS A VALOR RAZONABLE</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FORWARD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FORWARD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FUTUROS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FUTUROS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SWAPS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SWAPS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OTROS DERIVADOS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123608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OTROS DERIVADOS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PRIMA PAGADA EN OPCIONES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GANANCIA EN VALORACION DE OPCIONES COMPRADAS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1238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INSTRUMENTOS DERIVADOS CON FINES DE COBERTURA DE VALOR DE MERCADO (VALOR RAZONABLE) CON CAMBIOS EN EL ORI</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FORWARD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FORWARD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FUTUROS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FUTUROS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SWAPS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SWAPS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OTROS DERIVADOS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OTROS DERIVADOS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PRIMA PAGADA EN OPCIONES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123810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GANANCIA EN VALORACION DE OPCIONES COMPRADAS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1240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INSTRUMENTOS DERIVADOS CON FINES DE COBERTURA DE FLUJOS DE EFECTIVO MEDIDOS A COSTO AMORTIZADO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FORWARD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FORWARD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FUTUROS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FUTUROS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CONTRATOS SWAPS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CONTRATOS SWAPS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EN OTROS DERIVADOS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OBLIGACIONES EN OTROS DERIVADOS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124009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PRIMA PAGADA EN OPCIONES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124010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GANANCIA EN VALORACION DE OPCIONES COMPRADAS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1300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INVENTARIOS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lastRenderedPageBreak/>
              <w:t>1305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NO TRANSFORMADOS POR LA ENTIDAD - PARA COMERCIALIZAR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INVENTARIO EN TRANSITO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INVENTARIO EN CONSIGNACION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MERCANCIAS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ENVASES Y EMPAQUES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RAICES PARA LA VENTA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MAUSOLEOS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INVENTARIOS QUE SURGEN DE ACTIVIDADES DE EXTRACCION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130599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Y/O REBAJAS EN BIENES NO TRANSFORMADOS POR LA ENTIDAD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1310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TRANSFORMADOS POR LA ENTIDAD Y PRODUCTOS RESULTANTES DEL PROCESAMIENTO TRAS LA COSECHA O RECOLECCION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MATERIAS PRIMAS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PRODUCTOS EN PROCESO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PRODUCTOS TERMINADOS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PRODUCTOS AGRÍCOLAS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PRODUCTOS PECUARIOS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OBRAS DE CONSTRUCCION EN CURSO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INVENTARIOS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 BIENES TRANSFORMADOS POR LA ENTIDAD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1315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PRESTADORES DE SERVICIOS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131501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SERVICIOS DE CONSULTORIA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131502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SERVICIOS DE MANTENIMIENTO Y REPARACION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131503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INVENTARIOS DE PRESTADORES DE SERVICIOS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131599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PRESTADORES DE SERVICIOS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CARTERA DE CRÉDITOS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VIVIENDA - CON LIBRANZA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140405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VIVIENDA - SIN LIBRANZA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INTERESES CREDITOS DE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140615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140620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140625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1407</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PAGOS POR CUENTA DE ASOCIADOS - CRÉDITOS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140705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140710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140715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140720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140725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CREDITOS DE VIVIENDA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140820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140825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1409</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CREDITOS DE VIVIENDA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140905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140910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140915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140920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140925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 POR CUENTA DE ASOCIADOS - CREDITOS DE VIVIENDA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1411</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CONSUMO, GARANTIA ADMISIBLE - CON LIBRANZA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141120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141125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1412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CONSUMO, GARANTIA ADMISIBLE - SIN LIBRANZA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141205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141210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141215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141220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141225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1441</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CONSUMO, OTRAS GARANTIAS - CON LIBRANZA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144105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144120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144125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DE CONSUMO, OTRAS GARANTIAS - SIN LIBRANZA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144205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144210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144215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144220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144225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INTERESES CREDITOS DE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144320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144325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PAGOS POR CUENTA DE ASOCIADOS - CRÉDITOS CONSUMO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CRÉDITOS DE CONSUMO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144520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GARANTIA ADMISIBLE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144550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CREDITOS DE CONSUMO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144615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144620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144625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1447</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 POR CUENTA DE ASOCIADOS - CREDITOS DE CONSUMO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144705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144710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144715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144720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144725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MICROCREDITO INMOBILIARIO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144820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144825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1449</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INTERESES MICROCREDITO  INMOBILIARIO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144905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144910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144915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144920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144925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PAGOS POR CUENTA DE  ASOCIADOS - MICROCREDITO  INMOBILIARIO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1451</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MICROCREDITO INMOBILIARIO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145120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145125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MICROCREDITO INMOBILIARIO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145205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145210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145215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145220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145225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PAGOS POR CUENTA DE  ASOCIADOS - MICROCREDITO INMOBILIARIO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145320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145325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MICROCREDITO EMPRESARIAL -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MICROCREDITO EMPRESARIAL -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INTERESES MICROCREDITO EMPRESARIAL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145615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145620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145625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1457</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PAGOS POR CUENTA DE  ASOCIADOS - MICROCREDITO EMPRESARIAL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145705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145710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145715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145720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145725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MICROCREDITO EMPRESARIAL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145805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GARANTIA ADMISIBLE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145850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1459</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MICROCREDITO EMPRESARIAL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145905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145910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145915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145920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145925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PAGOS POR CUENTA DE  ASOCIADOS - MICROCREDITO EMPRESARIAL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1461</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COMERCIALES - GARANTIA ADMISIBLE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146120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146125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CREDITOS COMERCIALES - OTRAS GARANTIAS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146205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146210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146215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146220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146225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INTERESES CREDITOS COMERCIALES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146320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146325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PAGOS POR CUENTA DE  ASOCIADOS -COMERCIAL</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CRÉDITOS COMERCIALES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GARANTIA ADMISIBLE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146540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GARANTIA ADMISIBLE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146550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OTRAS GARANTIAS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1466</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CRÉDITOS COMERCIALES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146605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146610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146615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146620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146625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1467</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PAGOS POR CUENTA DE  ASOCIADOS - CRÉDITOS COMERCIALES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146705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146710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146715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146720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146725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1468</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GENERAL DE CARTERA DE CRÉDITOS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1469</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CRÉDITOS A EMPLEADOS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VIVIENDA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B RIESGO ACEPTABLE, VIVIENDA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VIVIENDA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VIVIENDA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VIVIENDA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CONSUMO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CONSUMO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CONSUMO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CONSUMO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146950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CONSUMO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lastRenderedPageBreak/>
              <w:t>1470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INTERESES CRÉDITOS A EMPLEADOS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B RIESGO ACEPTABLE,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147050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1471</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CRÉDITOS A EMPLEADOS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B RIESGO ACEPTABLE,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D RIESGO SIGNIFICATIVO,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VIVIENDA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147150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E RIESGO DE INCOBRABILIDAD, CONSUMO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1472</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INTERESES CRÉDITOS A EMPLEADOS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A RIESGO NORMAL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A RIESGO NORMAL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B RIESGO ACEPTABLE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B RIESGO ACEPTABLE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147225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C RIESGO APRECIABLE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C RIESGO APRECIABLE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INCOBRABILIDAD VIVIENDA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-50%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147250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INCOBRABILIDAD CONSUMO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1473</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CONVENIOS POR COBRAR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SERVICIOS MÉDICOS Y HOSPITALARIOS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SERVICIOS ODONTOLÓGICOS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MEDICINA PREPAGADA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SERVICIOS FUNERARIOS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SEGURO VOLUNTARIO – VEHÍCULO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SEGURO OBLIGATORIO – SOAT</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CONVENIOS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147399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CONVENIOS POR COBRAR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1474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PAGOS POR CUENTA DE CRÉDITOS A EMPLEADOS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1475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DETERIORO PAGOS POR CUENTA DE  CRÉDITOS A EMPLEADOS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A RIESGO NORMAL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B RIESGO ACEPTABLE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CATEGORIA C RIESGO APRECIABLE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D RIESGO SIGNIFICATIVO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147525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CATEGORIA E RIESGO DE INCOBRABILIDAD</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lastRenderedPageBreak/>
              <w:t>1500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BIOLÓGICOS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1505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ACTIVOS BIOLÓGICOS AL COSTO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PLANTACIONES AGRÍCOLAS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CULTIVOS EN DESARROLLO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SEMOVIENTES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DEPRECIACION ACUMULADA DE ACTIVOS BIOLOGICOS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150599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ACTIVOS BIOLOGICOS AL COSTO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1510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BIOLÓGICO MEDIDOS AL VALOR RAZONABLE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CULTIVOS EN DESARROLLO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PLANTACIONES AGRICOLAS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151015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SEMOVIENTES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151020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CUENTAS POR COBRAR Y OTRAS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DEUDORES POR VENTA DE BIENES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VIGENTES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91 Y 180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181 Y 360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VENCIDOS MÁS DE 360 DÍAS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160599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DEUDORES POR VENTA DE BIENES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INTERESES DEUDORES POR VENTA DE BIENES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VIGENTES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91 Y 180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181 Y 360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VENCIDOS MÁS DE 360 DÍAS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INTERESES DEUDORES POR VENTA DE BIENES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DEUDORES POR PRESTACIÓN DE SERVICIOS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161505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VIGENTES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91 Y 180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181 Y 360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VENCIDOS MÁS DE 360 DÍAS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161599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DEUDORES POR PRESTACIÓN DE SERVICIOS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1620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INTERESES DEUDORES POR PRESTACIÓN DE SERVICIOS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VIGENTES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91 Y 180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VENCIDOS ENTRE 181 Y 360 DÍAS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VENCIDOS MÁS DE 360 DÍAS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INTERESES DEUDORES POR PRESTACIÓN DE SERVICIOS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1625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DIVIDENDOS, PARTICIPACIONES Y RETORNOS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 SOCIEDADES ANÓNIMAS Y/O ASIMILADAS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 SOCIEDADES LIMITADAS Y/O ASIMILADAS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 ENTIDADES SOLIDARIAS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162595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OTRAS ENTIDADES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162599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DIVIDENDOS, PARTICIPACIONES Y RETORNOS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1630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AVANCES Y ANTICIPOS ENTREGADOS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LABORALES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GASTOS DE VIAJE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163095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OTROS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ANTICIPOS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1635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ARRENDAMIENTOS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 BIENES PROPIOS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 BIENES ADJUDICADOS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163599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ARRENDAMIENTOS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1640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POR IMPUESTOS CORRIENTES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164005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RENTA Y COMPLEMENTARIOS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RETENCIÓN EN LA FUENTE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IMPUESTO A LAS VENTAS RETENIDO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IMPUESTO DE INDUSTRIA Y COMERCIO RETENIDO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SOBRANTES EN LIQUIDACIÓN PRIVADA DE IMPUESTOS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CONTRIBUCIONES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IMPUESTOS DESCONTABLES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IMPUESTOS A LAS VENTAS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IMPUESTOS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164099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ANTICIPOS DE IMPUESTOS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1650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DEUDORES PATRONALES Y EMPRESAS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DESCUENTO DE NOMINA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LIQUIDACIONES PRESTACIONALES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Y CONTRIBUCIÓN EMPRESA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165095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DEUDORES PATRONALES Y EMPRESAS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1655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RESPONSABILIDADES PENDIENTES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DIRECTIVOS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EMPLEADOS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ASOCIADOS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165595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165599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RESPONSABILIDADES PENDIENTES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1660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OTRAS CUENTAS POR COBRAR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HONORARIOS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COMISIONES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CUOTAS DE ADMISIÓN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CUOTAS DE SOSTENIMIENTO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166025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RODAMIENTO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RECLAMOS A COMPAÑÍAS ASEGURADORAS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CUENTAS POR COBRAR DE TERCEROS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 DE EXPLOTACIÓN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SUBVENCIONES POR COBRAR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166099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OTRAS CUENTAS POR COBRAR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1700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MATERIALES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1705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PROPIEDADES, PLANTA Y EQUIPO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TERRENOS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170503</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CONSTRUCCIONES EN CURSO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EDIFICACIONES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MUEBLES Y EQUIPO DE OFICINA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ENSERES Y ACCESORIOS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170507</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ACTIVOS TANGIBLES PARA EXPLORACIÓN Y EVALUACION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EN TRANSITO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EQUIPO MÉDICO Y CIENTÍFICO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EQUIPO DE COMPUTO Y COMUNICACION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170524</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SEMOVIENTES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EQUIPOS DE COMEDOR, COCINA, DESPENSA Y HOTELERÍA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170526</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REDES, LÍNEAS Y CABLES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170528</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PLANTAS PRODUCTORAS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170529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PLANTAS, DUCTOS Y TÚNELES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EQUIPO DE TRANSPORTE, TRACCIÓN Y ELEVACIÓN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ARMAMENTO DE VIGILANCIA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ENVASES Y EMPAQUES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MAQUINARIA Y EQUIPO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170550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MAQUINARIA EN MONTAJE</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170555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MAUSOLEOS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170560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DE FONDOS SOCIALES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170565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REPUESTOS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170570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MINAS Y CANTERAS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170575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POZOS ARTESIANOS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170580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YACIMIENTOS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170585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GASODUCTOS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170590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EN COMODATO DE LARGO PLAZO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170591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RECIBIDOS EN PAGO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170592</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MEJORAS A BIENES AJENOS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DEPRECIACIÓN, AGOTAMIENTO PROPIEDAD, PLANTA Y EQUIPO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170599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PROPIEDAD, PLANTA Y EQUIPO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1710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PROPIEDADES DE INVERSIÓN MEDIDAS AL COSTO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TERRENOS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EDIFICACIONES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DE INVERSIÓN EN CONSTRUCCIÓN O DESARROLLO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171090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DEPRECIACION PROPIEDADES DE INVERSION AL COSTO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PROPIEDADES DE INVERSION AL COSTO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1715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PROPIEDADES DE INVERSION MEDIDAS A VALOR RAZONABLE</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TERRENOS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EDIFICACIONES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171599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PROPIEDADES DE INVERSION MEDIDAS A VALOR RAZONABLE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1800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ACTIVOS NO CORRIENTES MANTENIDOS PARA LA VENTA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 FINANCIERAS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DEUDORES COMERCIALES Y OTRAS CUENTAS POR COBRAR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PLANTA Y EQUIPO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1820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ACTIVOS INTANGIBLES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1821</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RECIBIDOS EN PAGO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OTROS ACTIVOS NO CORRIENTES MANTENIDOS PARA LA VENTA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1899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ACTIVOS NO CORRIENTES MANTENIDOS PARA LA VENTA  (CR)</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OTROS ACTIVOS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1904</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SUCURSALES Y AGENCIAS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FONDOS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INVENTARIOS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CARTERA DE CRÉDITOS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CRTERA POR VENTA DE BIENES Y SERVICIOS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PROPIEDADES, PLANTA Y EQUIPO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GASTOS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OTRAS CUENTAS POR COBRAR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TRASLADO DE OTROS ACTIVOS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190495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TRASLADOS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Y SERVICIOS PAGADOS POR ANTICIPADO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INTERESES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SEGUROS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ARRENDAMIENTOS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COMISIONES </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190595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AMORTIZACION ACUMULADA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INTANGIBLES ADQUIRIDOS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MARCAS Y PATENTES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CONCESIONES Y FRANQUICIAS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DERECHOS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LICENCIAS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CONTRATOS DE CONCESIÓN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191035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PROGRAMAS Y APLICACIONES INFORMATICAS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191040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ACTIVOS INTANGIBLES PARA EXPLORACION Y EVALUACION</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191045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ACTIVOS INTANGIBLES</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AMORTIZACION ACUMULADA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191099</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DETERIORO ACTIVOS INTANGIBLES ADQUIRIDOS (CR)</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PLUSVALIA</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1920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ACTIVOS POR IMPUESTOS DIFERIDOS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1935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PLAN DE ACTIVOS PARA BENEFICIOS A EMPLEADOS A LARGO PLAZO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EFECTIVO Y EQUIVALENTES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RECURSOS ENTREGADOS EN ADMINISTRACION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ENCARGOS FIDUCIARIOS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PLANTA Y EQUIPO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DE INVERSION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193535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ACTIVOS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75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1940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PLAN DE ACTIVOS PARA BENEFICIOS A EMPLEADOS POR TERMINACION DEL VINCULO LABORAL CONTRACTUAL</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EFECTIVO Y EQUIVALENTES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RECURSOS ENTREGADOS EN ADMINISTRACION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ENCARGOS FIDUCIARIOS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PLANTA Y EQUIPO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DE INVERSION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194035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ACTIVOS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1945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PLAN DE ACTIVOS PARA BENEFICIOS A EMPLEADOS POST-EMPLEO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EFECTIVO Y EQUIVALENTES AL EFECTIVO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RECURSOS ENTREGADOS EN ADMINISTRACION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lastRenderedPageBreak/>
              <w:t>194515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INVERSIONES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194520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ENCARGOS FIDUCIARIOS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194525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PLANTA Y EQUIPO</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194530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PROPIEDADES DE INVERSION</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194535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OTROS ACTIVOS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2130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DEPOSITOS DE AHORRO PERMANENTE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213005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DEPOSITOS A CORTO PLAZO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213010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DEPOSITOS A LARGO PLAZO</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213095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INTERESES DEPOSITOS DE AHORRO PERMANENTE</w:t>
            </w:r>
          </w:p>
        </w:tc>
        <w:tc>
          <w:tcPr>
            <w:tcW w:w="1423" w:type="dxa"/>
            <w:tcBorders>
              <w:top w:val="nil"/>
              <w:left w:val="nil"/>
              <w:bottom w:val="single" w:sz="4" w:space="0" w:color="auto"/>
              <w:right w:val="single" w:sz="4" w:space="0" w:color="auto"/>
            </w:tcBorders>
            <w:shd w:val="clear" w:color="auto" w:fill="auto"/>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3100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 xml:space="preserve">CAPITAL SOCIAL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3105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APORTES SOCIALES TEMPORALMENTE RESTRINGIDOS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310505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ORDINARIOS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310510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EXTRAORDINARIOS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3110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APORTES SOCIALES MINIMOS  NO REDUCIBLES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311005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APORTES ORDINARIOS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311010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xml:space="preserve">APORTES AMORTIZADOS </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8000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CUENTAS DE REVELACION DE INFORMACION FINANCIERA - DEUDORAS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8100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DEUDORAS CONTINGENTES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8105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Y VALORES ENTREGADOS EN CUSTODIA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8110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Y VALORES ENTREGADOS EN GARANTIA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8315</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BIENES ENTREGADOS EN CUSTODIA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000000" w:fill="D9D9D9"/>
            <w:noWrap/>
            <w:hideMark/>
          </w:tcPr>
          <w:p w:rsidR="000F39FB" w:rsidRPr="008B19DB" w:rsidRDefault="000F39FB" w:rsidP="000F39FB">
            <w:pPr>
              <w:suppressAutoHyphens w:val="0"/>
              <w:jc w:val="right"/>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9100</w:t>
            </w:r>
          </w:p>
        </w:tc>
        <w:tc>
          <w:tcPr>
            <w:tcW w:w="5819" w:type="dxa"/>
            <w:tcBorders>
              <w:top w:val="nil"/>
              <w:left w:val="nil"/>
              <w:bottom w:val="single" w:sz="4" w:space="0" w:color="auto"/>
              <w:right w:val="single" w:sz="4" w:space="0" w:color="auto"/>
            </w:tcBorders>
            <w:shd w:val="clear" w:color="000000" w:fill="D9D9D9"/>
            <w:hideMark/>
          </w:tcPr>
          <w:p w:rsidR="000F39FB" w:rsidRPr="008B19DB" w:rsidRDefault="000F39FB" w:rsidP="000F39FB">
            <w:pPr>
              <w:suppressAutoHyphens w:val="0"/>
              <w:rPr>
                <w:rFonts w:asciiTheme="minorHAnsi" w:hAnsiTheme="minorHAnsi" w:cstheme="minorHAnsi"/>
                <w:b/>
                <w:bCs/>
                <w:i w:val="0"/>
                <w:color w:val="000000"/>
                <w:sz w:val="20"/>
                <w:szCs w:val="20"/>
                <w:lang w:eastAsia="es-CO"/>
              </w:rPr>
            </w:pPr>
            <w:r w:rsidRPr="008B19DB">
              <w:rPr>
                <w:rFonts w:asciiTheme="minorHAnsi" w:hAnsiTheme="minorHAnsi" w:cstheme="minorHAnsi"/>
                <w:b/>
                <w:bCs/>
                <w:i w:val="0"/>
                <w:color w:val="000000"/>
                <w:sz w:val="20"/>
                <w:szCs w:val="20"/>
                <w:lang w:eastAsia="es-CO"/>
              </w:rPr>
              <w:t>ACREEDORAS CONTINGENTES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 </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9105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Y VALORES RECIBIDOS EN CUSTODIA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9110</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BIENES Y VALORES RECIBIDOS EN GARANTIA</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100%</w:t>
            </w:r>
          </w:p>
        </w:tc>
      </w:tr>
      <w:tr w:rsidR="000F39FB" w:rsidRPr="000F39FB" w:rsidTr="008B19DB">
        <w:trPr>
          <w:trHeight w:val="360"/>
        </w:trPr>
        <w:tc>
          <w:tcPr>
            <w:tcW w:w="980" w:type="dxa"/>
            <w:tcBorders>
              <w:top w:val="nil"/>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9115</w:t>
            </w:r>
          </w:p>
        </w:tc>
        <w:tc>
          <w:tcPr>
            <w:tcW w:w="5819" w:type="dxa"/>
            <w:tcBorders>
              <w:top w:val="nil"/>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CREDITOS APROBADOS NO DESEMBOLSADOS</w:t>
            </w:r>
          </w:p>
        </w:tc>
        <w:tc>
          <w:tcPr>
            <w:tcW w:w="1423" w:type="dxa"/>
            <w:tcBorders>
              <w:top w:val="nil"/>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nil"/>
              <w:left w:val="single" w:sz="4" w:space="0" w:color="auto"/>
              <w:bottom w:val="nil"/>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9120</w:t>
            </w:r>
          </w:p>
        </w:tc>
        <w:tc>
          <w:tcPr>
            <w:tcW w:w="5819" w:type="dxa"/>
            <w:tcBorders>
              <w:top w:val="nil"/>
              <w:left w:val="nil"/>
              <w:bottom w:val="nil"/>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LITIGIOS Y/O DEMANDAS</w:t>
            </w:r>
          </w:p>
        </w:tc>
        <w:tc>
          <w:tcPr>
            <w:tcW w:w="1423" w:type="dxa"/>
            <w:tcBorders>
              <w:top w:val="nil"/>
              <w:left w:val="nil"/>
              <w:bottom w:val="nil"/>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20%</w:t>
            </w:r>
          </w:p>
        </w:tc>
      </w:tr>
      <w:tr w:rsidR="000F39FB" w:rsidRPr="000F39FB" w:rsidTr="008B19DB">
        <w:trPr>
          <w:trHeight w:val="360"/>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0F39FB" w:rsidRPr="008B19DB" w:rsidRDefault="000F39FB" w:rsidP="000F39FB">
            <w:pPr>
              <w:suppressAutoHyphens w:val="0"/>
              <w:jc w:val="right"/>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9125</w:t>
            </w:r>
          </w:p>
        </w:tc>
        <w:tc>
          <w:tcPr>
            <w:tcW w:w="5819" w:type="dxa"/>
            <w:tcBorders>
              <w:top w:val="single" w:sz="4" w:space="0" w:color="auto"/>
              <w:left w:val="nil"/>
              <w:bottom w:val="single" w:sz="4" w:space="0" w:color="auto"/>
              <w:right w:val="single" w:sz="4" w:space="0" w:color="auto"/>
            </w:tcBorders>
            <w:shd w:val="clear" w:color="auto" w:fill="auto"/>
            <w:hideMark/>
          </w:tcPr>
          <w:p w:rsidR="000F39FB" w:rsidRPr="008B19DB" w:rsidRDefault="000F39FB" w:rsidP="000F39FB">
            <w:pPr>
              <w:suppressAutoHyphens w:val="0"/>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OTRAS RESPONSABILIDADES CONTINGENTES</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F39FB" w:rsidRPr="008B19DB" w:rsidRDefault="000F39FB" w:rsidP="000F39FB">
            <w:pPr>
              <w:suppressAutoHyphens w:val="0"/>
              <w:jc w:val="center"/>
              <w:rPr>
                <w:rFonts w:asciiTheme="minorHAnsi" w:hAnsiTheme="minorHAnsi" w:cstheme="minorHAnsi"/>
                <w:i w:val="0"/>
                <w:color w:val="000000"/>
                <w:sz w:val="20"/>
                <w:szCs w:val="20"/>
                <w:lang w:eastAsia="es-CO"/>
              </w:rPr>
            </w:pPr>
            <w:r w:rsidRPr="008B19DB">
              <w:rPr>
                <w:rFonts w:asciiTheme="minorHAnsi" w:hAnsiTheme="minorHAnsi" w:cstheme="minorHAnsi"/>
                <w:i w:val="0"/>
                <w:color w:val="000000"/>
                <w:sz w:val="20"/>
                <w:szCs w:val="20"/>
                <w:lang w:eastAsia="es-CO"/>
              </w:rPr>
              <w:t>0%</w:t>
            </w:r>
          </w:p>
        </w:tc>
      </w:tr>
    </w:tbl>
    <w:p w:rsidR="000F39FB" w:rsidRPr="00F152BB" w:rsidRDefault="000F39FB" w:rsidP="000F39FB">
      <w:pPr>
        <w:jc w:val="both"/>
        <w:rPr>
          <w:i w:val="0"/>
          <w:iCs/>
          <w:sz w:val="22"/>
          <w:szCs w:val="22"/>
          <w:lang w:val="es-MX"/>
        </w:rPr>
      </w:pPr>
    </w:p>
    <w:p w:rsidR="00F152BB" w:rsidRPr="00F152BB" w:rsidRDefault="00F152BB" w:rsidP="00F152BB">
      <w:pPr>
        <w:pStyle w:val="Prrafodelista"/>
        <w:numPr>
          <w:ilvl w:val="0"/>
          <w:numId w:val="8"/>
        </w:numPr>
        <w:suppressAutoHyphens w:val="0"/>
        <w:ind w:left="567" w:hanging="567"/>
        <w:jc w:val="both"/>
        <w:outlineLvl w:val="2"/>
        <w:rPr>
          <w:b/>
          <w:i w:val="0"/>
          <w:sz w:val="22"/>
          <w:szCs w:val="22"/>
        </w:rPr>
      </w:pPr>
      <w:bookmarkStart w:id="2" w:name="_Toc207673889"/>
      <w:r w:rsidRPr="00F152BB">
        <w:rPr>
          <w:b/>
          <w:i w:val="0"/>
          <w:sz w:val="22"/>
          <w:szCs w:val="22"/>
        </w:rPr>
        <w:t xml:space="preserve">Cumplimiento del Indicador de Solidez </w:t>
      </w:r>
    </w:p>
    <w:bookmarkEnd w:id="2"/>
    <w:p w:rsidR="00F152BB" w:rsidRPr="00F152BB" w:rsidRDefault="00F152BB" w:rsidP="00F152BB">
      <w:pPr>
        <w:ind w:left="780"/>
        <w:jc w:val="both"/>
        <w:rPr>
          <w:i w:val="0"/>
          <w:sz w:val="22"/>
          <w:szCs w:val="22"/>
        </w:rPr>
      </w:pPr>
    </w:p>
    <w:p w:rsidR="00F152BB" w:rsidRPr="00F152BB" w:rsidRDefault="00F152BB" w:rsidP="00F152BB">
      <w:pPr>
        <w:pStyle w:val="Textoindependiente3"/>
        <w:tabs>
          <w:tab w:val="left" w:pos="540"/>
        </w:tabs>
        <w:jc w:val="both"/>
        <w:rPr>
          <w:i w:val="0"/>
          <w:sz w:val="22"/>
          <w:szCs w:val="22"/>
        </w:rPr>
      </w:pPr>
      <w:r w:rsidRPr="00F152BB">
        <w:rPr>
          <w:i w:val="0"/>
          <w:sz w:val="22"/>
          <w:szCs w:val="22"/>
        </w:rPr>
        <w:t>L</w:t>
      </w:r>
      <w:r>
        <w:rPr>
          <w:i w:val="0"/>
          <w:sz w:val="22"/>
          <w:szCs w:val="22"/>
        </w:rPr>
        <w:t xml:space="preserve">os Fondos de Empleados de Categoría Plena </w:t>
      </w:r>
      <w:r w:rsidRPr="00F152BB">
        <w:rPr>
          <w:i w:val="0"/>
          <w:sz w:val="22"/>
          <w:szCs w:val="22"/>
        </w:rPr>
        <w:t>deben cumplir</w:t>
      </w:r>
      <w:r>
        <w:rPr>
          <w:i w:val="0"/>
          <w:sz w:val="22"/>
          <w:szCs w:val="22"/>
        </w:rPr>
        <w:t xml:space="preserve"> </w:t>
      </w:r>
      <w:r w:rsidR="00AD40A6">
        <w:rPr>
          <w:i w:val="0"/>
          <w:sz w:val="22"/>
          <w:szCs w:val="22"/>
        </w:rPr>
        <w:t xml:space="preserve">a partir del 1º de marzo de 2019 y en </w:t>
      </w:r>
      <w:r>
        <w:rPr>
          <w:i w:val="0"/>
          <w:sz w:val="22"/>
          <w:szCs w:val="22"/>
        </w:rPr>
        <w:t>todo momento</w:t>
      </w:r>
      <w:r w:rsidR="00AD40A6">
        <w:rPr>
          <w:i w:val="0"/>
          <w:sz w:val="22"/>
          <w:szCs w:val="22"/>
        </w:rPr>
        <w:t xml:space="preserve"> a partir de esta fecha, </w:t>
      </w:r>
      <w:r w:rsidRPr="00F152BB">
        <w:rPr>
          <w:i w:val="0"/>
          <w:sz w:val="22"/>
          <w:szCs w:val="22"/>
        </w:rPr>
        <w:t xml:space="preserve">con </w:t>
      </w:r>
      <w:r>
        <w:rPr>
          <w:i w:val="0"/>
          <w:sz w:val="22"/>
          <w:szCs w:val="22"/>
        </w:rPr>
        <w:t>el indicador de solidez</w:t>
      </w:r>
      <w:r w:rsidR="00AD40A6">
        <w:rPr>
          <w:i w:val="0"/>
          <w:sz w:val="22"/>
          <w:szCs w:val="22"/>
        </w:rPr>
        <w:t xml:space="preserve">, conforme lo establece el numeral 3.1 de la Circular Externa No. 11 de 2017 proferida por la Superintendencia de la Economía Solidaria en concordancia con lo previsto en los </w:t>
      </w:r>
      <w:r w:rsidR="00EE0AC0">
        <w:rPr>
          <w:i w:val="0"/>
          <w:sz w:val="22"/>
          <w:szCs w:val="22"/>
        </w:rPr>
        <w:t xml:space="preserve">artículos </w:t>
      </w:r>
      <w:r w:rsidR="00AD40A6">
        <w:rPr>
          <w:i w:val="0"/>
          <w:sz w:val="22"/>
          <w:szCs w:val="22"/>
        </w:rPr>
        <w:t xml:space="preserve">1º y 3º </w:t>
      </w:r>
      <w:r>
        <w:rPr>
          <w:i w:val="0"/>
          <w:sz w:val="22"/>
          <w:szCs w:val="22"/>
        </w:rPr>
        <w:t xml:space="preserve">del </w:t>
      </w:r>
      <w:r w:rsidRPr="00F152BB">
        <w:rPr>
          <w:i w:val="0"/>
          <w:sz w:val="22"/>
          <w:szCs w:val="22"/>
        </w:rPr>
        <w:t xml:space="preserve">Decreto </w:t>
      </w:r>
      <w:r>
        <w:rPr>
          <w:i w:val="0"/>
          <w:sz w:val="22"/>
          <w:szCs w:val="22"/>
        </w:rPr>
        <w:t xml:space="preserve">344 </w:t>
      </w:r>
      <w:r w:rsidRPr="00F152BB">
        <w:rPr>
          <w:i w:val="0"/>
          <w:sz w:val="22"/>
          <w:szCs w:val="22"/>
        </w:rPr>
        <w:t xml:space="preserve">de </w:t>
      </w:r>
      <w:r>
        <w:rPr>
          <w:i w:val="0"/>
          <w:sz w:val="22"/>
          <w:szCs w:val="22"/>
        </w:rPr>
        <w:t>2017</w:t>
      </w:r>
      <w:r w:rsidR="00AD40A6">
        <w:rPr>
          <w:i w:val="0"/>
          <w:sz w:val="22"/>
          <w:szCs w:val="22"/>
        </w:rPr>
        <w:t xml:space="preserve"> y las demás </w:t>
      </w:r>
      <w:r w:rsidRPr="00F152BB">
        <w:rPr>
          <w:i w:val="0"/>
          <w:sz w:val="22"/>
          <w:szCs w:val="22"/>
        </w:rPr>
        <w:t>normas que lo modifiquen o sustituyan.</w:t>
      </w:r>
    </w:p>
    <w:p w:rsidR="00F152BB" w:rsidRDefault="00F152BB" w:rsidP="00F152BB">
      <w:pPr>
        <w:pStyle w:val="Textoindependiente"/>
        <w:rPr>
          <w:sz w:val="22"/>
          <w:szCs w:val="22"/>
        </w:rPr>
      </w:pPr>
    </w:p>
    <w:p w:rsidR="00385557" w:rsidRDefault="00385557" w:rsidP="00F152BB">
      <w:pPr>
        <w:pStyle w:val="Textoindependiente"/>
        <w:rPr>
          <w:sz w:val="22"/>
          <w:szCs w:val="22"/>
        </w:rPr>
      </w:pPr>
      <w:r>
        <w:rPr>
          <w:sz w:val="22"/>
          <w:szCs w:val="22"/>
        </w:rPr>
        <w:t xml:space="preserve">La presente carta circular, rige a partir de la fecha de su publicación en el Diario Oficial. </w:t>
      </w:r>
    </w:p>
    <w:p w:rsidR="00385557" w:rsidRPr="00F152BB" w:rsidRDefault="00385557" w:rsidP="00F152BB">
      <w:pPr>
        <w:pStyle w:val="Textoindependiente"/>
        <w:rPr>
          <w:sz w:val="22"/>
          <w:szCs w:val="22"/>
        </w:rPr>
      </w:pPr>
    </w:p>
    <w:p w:rsidR="00F152BB" w:rsidRDefault="00385557" w:rsidP="00666CFD">
      <w:pPr>
        <w:jc w:val="both"/>
        <w:rPr>
          <w:i w:val="0"/>
          <w:iCs/>
          <w:sz w:val="22"/>
          <w:szCs w:val="22"/>
          <w:lang w:val="es-MX"/>
        </w:rPr>
      </w:pPr>
      <w:r>
        <w:rPr>
          <w:i w:val="0"/>
          <w:iCs/>
          <w:sz w:val="22"/>
          <w:szCs w:val="22"/>
          <w:lang w:val="es-MX"/>
        </w:rPr>
        <w:t xml:space="preserve">Cordialmente, </w:t>
      </w:r>
    </w:p>
    <w:p w:rsidR="00385557" w:rsidRDefault="00385557" w:rsidP="00666CFD">
      <w:pPr>
        <w:jc w:val="both"/>
        <w:rPr>
          <w:i w:val="0"/>
          <w:iCs/>
          <w:sz w:val="22"/>
          <w:szCs w:val="22"/>
          <w:lang w:val="es-MX"/>
        </w:rPr>
      </w:pPr>
    </w:p>
    <w:p w:rsidR="00385557" w:rsidRDefault="00385557" w:rsidP="00666CFD">
      <w:pPr>
        <w:jc w:val="both"/>
        <w:rPr>
          <w:i w:val="0"/>
          <w:iCs/>
          <w:sz w:val="22"/>
          <w:szCs w:val="22"/>
          <w:lang w:val="es-MX"/>
        </w:rPr>
      </w:pPr>
    </w:p>
    <w:p w:rsidR="00EE0AC0" w:rsidRDefault="00EE0AC0" w:rsidP="00666CFD">
      <w:pPr>
        <w:jc w:val="both"/>
        <w:rPr>
          <w:i w:val="0"/>
          <w:iCs/>
          <w:sz w:val="22"/>
          <w:szCs w:val="22"/>
          <w:lang w:val="es-MX"/>
        </w:rPr>
      </w:pPr>
    </w:p>
    <w:p w:rsidR="00EE0AC0" w:rsidRDefault="00EE0AC0" w:rsidP="00666CFD">
      <w:pPr>
        <w:jc w:val="both"/>
        <w:rPr>
          <w:i w:val="0"/>
          <w:iCs/>
          <w:sz w:val="22"/>
          <w:szCs w:val="22"/>
          <w:lang w:val="es-MX"/>
        </w:rPr>
      </w:pPr>
    </w:p>
    <w:p w:rsidR="00EE0AC0" w:rsidRDefault="00EE0AC0" w:rsidP="00666CFD">
      <w:pPr>
        <w:jc w:val="both"/>
        <w:rPr>
          <w:i w:val="0"/>
          <w:iCs/>
          <w:sz w:val="22"/>
          <w:szCs w:val="22"/>
          <w:lang w:val="es-MX"/>
        </w:rPr>
      </w:pPr>
    </w:p>
    <w:p w:rsidR="00EE0AC0" w:rsidRDefault="00EE0AC0" w:rsidP="00666CFD">
      <w:pPr>
        <w:jc w:val="both"/>
        <w:rPr>
          <w:i w:val="0"/>
          <w:iCs/>
          <w:sz w:val="22"/>
          <w:szCs w:val="22"/>
          <w:lang w:val="es-MX"/>
        </w:rPr>
      </w:pPr>
    </w:p>
    <w:p w:rsidR="00EE0AC0" w:rsidRPr="00EE0AC0" w:rsidRDefault="00EE0AC0" w:rsidP="00666CFD">
      <w:pPr>
        <w:jc w:val="both"/>
        <w:rPr>
          <w:b/>
          <w:i w:val="0"/>
          <w:iCs/>
          <w:sz w:val="22"/>
          <w:szCs w:val="22"/>
          <w:lang w:val="es-MX"/>
        </w:rPr>
      </w:pPr>
      <w:r w:rsidRPr="00EE0AC0">
        <w:rPr>
          <w:b/>
          <w:i w:val="0"/>
          <w:iCs/>
          <w:sz w:val="22"/>
          <w:szCs w:val="22"/>
          <w:lang w:val="es-MX"/>
        </w:rPr>
        <w:t xml:space="preserve">HECTOR RAÚL RUIZ VELANDIA </w:t>
      </w:r>
    </w:p>
    <w:p w:rsidR="00EE0AC0" w:rsidRDefault="00EE0AC0" w:rsidP="00666CFD">
      <w:pPr>
        <w:jc w:val="both"/>
        <w:rPr>
          <w:i w:val="0"/>
          <w:iCs/>
          <w:sz w:val="22"/>
          <w:szCs w:val="22"/>
          <w:lang w:val="es-MX"/>
        </w:rPr>
      </w:pPr>
      <w:r>
        <w:rPr>
          <w:i w:val="0"/>
          <w:iCs/>
          <w:sz w:val="22"/>
          <w:szCs w:val="22"/>
          <w:lang w:val="es-MX"/>
        </w:rPr>
        <w:t xml:space="preserve">Superintendente </w:t>
      </w:r>
    </w:p>
    <w:p w:rsidR="00EE0AC0" w:rsidRDefault="00EE0AC0" w:rsidP="00666CFD">
      <w:pPr>
        <w:jc w:val="both"/>
        <w:rPr>
          <w:i w:val="0"/>
          <w:iCs/>
          <w:sz w:val="22"/>
          <w:szCs w:val="22"/>
          <w:lang w:val="es-MX"/>
        </w:rPr>
      </w:pPr>
    </w:p>
    <w:p w:rsidR="00EE0AC0" w:rsidRPr="00750BF0" w:rsidRDefault="00EE0AC0" w:rsidP="00666CFD">
      <w:pPr>
        <w:jc w:val="both"/>
        <w:rPr>
          <w:i w:val="0"/>
          <w:iCs/>
          <w:sz w:val="18"/>
          <w:szCs w:val="18"/>
          <w:lang w:val="es-MX"/>
        </w:rPr>
      </w:pPr>
      <w:r w:rsidRPr="00750BF0">
        <w:rPr>
          <w:i w:val="0"/>
          <w:iCs/>
          <w:sz w:val="18"/>
          <w:szCs w:val="18"/>
          <w:lang w:val="es-MX"/>
        </w:rPr>
        <w:t xml:space="preserve">Proyectó: Martha Nury Beltrán Misas </w:t>
      </w:r>
    </w:p>
    <w:p w:rsidR="00EE0AC0" w:rsidRPr="00750BF0" w:rsidRDefault="00750BF0" w:rsidP="00666CFD">
      <w:pPr>
        <w:jc w:val="both"/>
        <w:rPr>
          <w:i w:val="0"/>
          <w:iCs/>
          <w:sz w:val="18"/>
          <w:szCs w:val="18"/>
          <w:lang w:val="es-MX"/>
        </w:rPr>
      </w:pPr>
      <w:r w:rsidRPr="00750BF0">
        <w:rPr>
          <w:i w:val="0"/>
          <w:iCs/>
          <w:sz w:val="18"/>
          <w:szCs w:val="18"/>
          <w:lang w:val="es-MX"/>
        </w:rPr>
        <w:t xml:space="preserve">Revisó: Luis Jaime Jiménez Morantes </w:t>
      </w:r>
    </w:p>
    <w:sectPr w:rsidR="00EE0AC0" w:rsidRPr="00750BF0" w:rsidSect="00EC3A42">
      <w:headerReference w:type="default" r:id="rId7"/>
      <w:footerReference w:type="default" r:id="rId8"/>
      <w:headerReference w:type="first" r:id="rId9"/>
      <w:footerReference w:type="first" r:id="rId10"/>
      <w:footnotePr>
        <w:pos w:val="beneathText"/>
      </w:footnotePr>
      <w:pgSz w:w="12242" w:h="15842" w:code="1"/>
      <w:pgMar w:top="1525" w:right="1418" w:bottom="1134" w:left="1701"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E3" w:rsidRDefault="000C49E3">
      <w:r>
        <w:separator/>
      </w:r>
    </w:p>
  </w:endnote>
  <w:endnote w:type="continuationSeparator" w:id="0">
    <w:p w:rsidR="000C49E3" w:rsidRDefault="000C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okChampa">
    <w:altName w:val="Arial Unicode MS"/>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66" w:rsidRPr="00F20D8E" w:rsidRDefault="004A2666" w:rsidP="000C0C1F">
    <w:pPr>
      <w:tabs>
        <w:tab w:val="left" w:pos="1485"/>
      </w:tabs>
      <w:snapToGrid w:val="0"/>
      <w:spacing w:line="360" w:lineRule="auto"/>
      <w:rPr>
        <w:bCs/>
        <w:sz w:val="22"/>
        <w:szCs w:val="22"/>
      </w:rPr>
    </w:pPr>
    <w:r>
      <w:rPr>
        <w:noProof/>
        <w:lang w:eastAsia="es-CO"/>
      </w:rPr>
      <w:drawing>
        <wp:anchor distT="0" distB="0" distL="114300" distR="114300" simplePos="0" relativeHeight="251665408" behindDoc="0" locked="0" layoutInCell="1" allowOverlap="1">
          <wp:simplePos x="0" y="0"/>
          <wp:positionH relativeFrom="column">
            <wp:posOffset>5043170</wp:posOffset>
          </wp:positionH>
          <wp:positionV relativeFrom="paragraph">
            <wp:posOffset>33020</wp:posOffset>
          </wp:positionV>
          <wp:extent cx="1233170" cy="999490"/>
          <wp:effectExtent l="0" t="0" r="0" b="0"/>
          <wp:wrapNone/>
          <wp:docPr id="29" name="Imagen 3"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0" locked="0" layoutInCell="1" allowOverlap="1">
          <wp:simplePos x="0" y="0"/>
          <wp:positionH relativeFrom="column">
            <wp:posOffset>-412750</wp:posOffset>
          </wp:positionH>
          <wp:positionV relativeFrom="paragraph">
            <wp:posOffset>33020</wp:posOffset>
          </wp:positionV>
          <wp:extent cx="899795" cy="1035685"/>
          <wp:effectExtent l="0" t="0" r="0" b="0"/>
          <wp:wrapNone/>
          <wp:docPr id="28" name="Imagen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p>
  <w:p w:rsidR="004A2666" w:rsidRPr="00617E82" w:rsidRDefault="004A2666" w:rsidP="000C0C1F">
    <w:pPr>
      <w:tabs>
        <w:tab w:val="center" w:pos="993"/>
        <w:tab w:val="right" w:pos="8504"/>
      </w:tabs>
      <w:spacing w:line="0" w:lineRule="atLeast"/>
      <w:ind w:left="-454"/>
      <w:jc w:val="center"/>
      <w:rPr>
        <w:bCs/>
        <w:i w:val="0"/>
        <w:iCs/>
        <w:w w:val="200"/>
        <w:sz w:val="14"/>
        <w:szCs w:val="14"/>
      </w:rPr>
    </w:pPr>
  </w:p>
  <w:p w:rsidR="004A2666" w:rsidRPr="00BB6319" w:rsidRDefault="004A2666" w:rsidP="000C0C1F">
    <w:pPr>
      <w:tabs>
        <w:tab w:val="center" w:pos="993"/>
        <w:tab w:val="right" w:pos="8504"/>
      </w:tabs>
      <w:spacing w:line="0" w:lineRule="atLeast"/>
      <w:ind w:left="-454" w:right="170"/>
      <w:jc w:val="center"/>
      <w:rPr>
        <w:rFonts w:ascii="DokChampa" w:hAnsi="DokChampa" w:cs="DokChampa"/>
        <w:bCs/>
        <w:i w:val="0"/>
        <w:iCs/>
        <w:w w:val="200"/>
        <w:sz w:val="14"/>
        <w:szCs w:val="14"/>
      </w:rPr>
    </w:pPr>
    <w:r w:rsidRPr="00BB6319">
      <w:rPr>
        <w:rFonts w:ascii="DokChampa" w:hAnsi="DokChampa" w:cs="DokChampa"/>
        <w:bCs/>
        <w:i w:val="0"/>
        <w:iCs/>
        <w:w w:val="200"/>
        <w:sz w:val="14"/>
        <w:szCs w:val="14"/>
      </w:rPr>
      <w:t xml:space="preserve">Supervisión para el crecimiento social </w:t>
    </w:r>
    <w:r w:rsidRPr="00BB6319">
      <w:rPr>
        <w:rFonts w:ascii="DokChampa" w:hAnsi="DokChampa" w:cs="DokChampa"/>
        <w:bCs/>
        <w:i w:val="0"/>
        <w:iCs/>
        <w:w w:val="200"/>
        <w:sz w:val="14"/>
        <w:szCs w:val="14"/>
      </w:rPr>
      <w:br/>
      <w:t>y económico del sector solidario</w:t>
    </w:r>
  </w:p>
  <w:p w:rsidR="004A2666" w:rsidRPr="00617E82" w:rsidRDefault="004A2666" w:rsidP="000C0C1F">
    <w:pPr>
      <w:tabs>
        <w:tab w:val="center" w:pos="993"/>
        <w:tab w:val="right" w:pos="8504"/>
      </w:tabs>
      <w:spacing w:line="40" w:lineRule="atLeast"/>
      <w:ind w:left="-454" w:right="170"/>
      <w:jc w:val="center"/>
    </w:pPr>
    <w:r>
      <w:rPr>
        <w:noProof/>
        <w:lang w:eastAsia="es-CO"/>
      </w:rPr>
      <w:drawing>
        <wp:inline distT="0" distB="0" distL="0" distR="0">
          <wp:extent cx="3933825" cy="28575"/>
          <wp:effectExtent l="0" t="0" r="0" b="0"/>
          <wp:docPr id="3" name="Imagen 3"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4A2666" w:rsidRPr="00617E82" w:rsidRDefault="004A2666" w:rsidP="000C0C1F">
    <w:pPr>
      <w:tabs>
        <w:tab w:val="center" w:pos="993"/>
        <w:tab w:val="right" w:pos="8504"/>
      </w:tabs>
      <w:spacing w:line="40" w:lineRule="atLeast"/>
      <w:ind w:left="-454" w:right="170"/>
      <w:jc w:val="center"/>
      <w:rPr>
        <w:sz w:val="6"/>
        <w:szCs w:val="6"/>
      </w:rPr>
    </w:pPr>
  </w:p>
  <w:p w:rsidR="004A2666" w:rsidRPr="00617E82" w:rsidRDefault="004A2666" w:rsidP="000C0C1F">
    <w:pPr>
      <w:tabs>
        <w:tab w:val="center" w:pos="993"/>
        <w:tab w:val="right" w:pos="8504"/>
      </w:tabs>
      <w:spacing w:line="40" w:lineRule="atLeast"/>
      <w:ind w:left="-454" w:right="170"/>
      <w:jc w:val="center"/>
      <w:rPr>
        <w:sz w:val="15"/>
        <w:lang w:val="fr-FR"/>
      </w:rPr>
    </w:pPr>
    <w:r w:rsidRPr="00617E82">
      <w:rPr>
        <w:sz w:val="15"/>
      </w:rPr>
      <w:t xml:space="preserve">Carrera 7 No. 31-10 Piso 11. </w:t>
    </w:r>
    <w:r w:rsidRPr="00617E82">
      <w:rPr>
        <w:sz w:val="15"/>
        <w:lang w:val="fr-FR"/>
      </w:rPr>
      <w:t>PBX (1) 4895009. FAX – Extensión 125 Línea gratuita 018000 511737</w:t>
    </w:r>
  </w:p>
  <w:p w:rsidR="004A2666" w:rsidRPr="00617E82" w:rsidRDefault="004A2666" w:rsidP="000C0C1F">
    <w:pPr>
      <w:tabs>
        <w:tab w:val="center" w:pos="993"/>
        <w:tab w:val="right" w:pos="8504"/>
      </w:tabs>
      <w:spacing w:line="0" w:lineRule="atLeast"/>
      <w:ind w:left="-454" w:right="170"/>
      <w:jc w:val="center"/>
      <w:rPr>
        <w:sz w:val="15"/>
      </w:rPr>
    </w:pPr>
    <w:proofErr w:type="gramStart"/>
    <w:r w:rsidRPr="00617E82">
      <w:rPr>
        <w:sz w:val="15"/>
      </w:rPr>
      <w:t>www.supersolidaria.gov.co  Correo</w:t>
    </w:r>
    <w:proofErr w:type="gramEnd"/>
    <w:r w:rsidRPr="00617E82">
      <w:rPr>
        <w:sz w:val="15"/>
      </w:rPr>
      <w:t xml:space="preserve"> electrónico: cau@supersolidaria.gov.co</w:t>
    </w:r>
  </w:p>
  <w:p w:rsidR="004A2666" w:rsidRPr="00617E82" w:rsidRDefault="004A2666" w:rsidP="000C0C1F">
    <w:pPr>
      <w:tabs>
        <w:tab w:val="center" w:pos="993"/>
        <w:tab w:val="right" w:pos="8504"/>
      </w:tabs>
      <w:ind w:left="-454" w:right="170"/>
      <w:jc w:val="center"/>
    </w:pPr>
    <w:r w:rsidRPr="00617E82">
      <w:rPr>
        <w:sz w:val="15"/>
      </w:rPr>
      <w:t>NIT: 830.053.043 5 Bogotá D.C., Colombia</w:t>
    </w:r>
    <w:r w:rsidRPr="00617E82">
      <w:t xml:space="preserve"> </w:t>
    </w:r>
  </w:p>
  <w:p w:rsidR="004A2666" w:rsidRPr="00C64ECE" w:rsidRDefault="004A2666" w:rsidP="00C64EC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66" w:rsidRPr="00BD17A4" w:rsidRDefault="004A2666" w:rsidP="00BD17A4">
    <w:pPr>
      <w:tabs>
        <w:tab w:val="center" w:pos="4252"/>
        <w:tab w:val="right" w:pos="8504"/>
      </w:tabs>
      <w:suppressAutoHyphens w:val="0"/>
      <w:rPr>
        <w:rFonts w:ascii="Times New Roman" w:hAnsi="Times New Roman" w:cs="Times New Roman"/>
        <w:i w:val="0"/>
        <w:lang w:val="es-ES" w:eastAsia="es-ES"/>
      </w:rPr>
    </w:pPr>
  </w:p>
  <w:p w:rsidR="004A2666" w:rsidRPr="00BD17A4" w:rsidRDefault="004A2666" w:rsidP="00BD17A4">
    <w:pPr>
      <w:suppressAutoHyphens w:val="0"/>
      <w:rPr>
        <w:rFonts w:ascii="Times New Roman" w:hAnsi="Times New Roman" w:cs="Times New Roman"/>
        <w:i w:val="0"/>
        <w:lang w:val="es-ES" w:eastAsia="es-ES"/>
      </w:rPr>
    </w:pPr>
  </w:p>
  <w:p w:rsidR="004A2666" w:rsidRPr="00BD17A4" w:rsidRDefault="004A2666" w:rsidP="00BD17A4">
    <w:pPr>
      <w:tabs>
        <w:tab w:val="center" w:pos="993"/>
        <w:tab w:val="right" w:pos="8504"/>
      </w:tabs>
      <w:suppressAutoHyphens w:val="0"/>
      <w:spacing w:line="0" w:lineRule="atLeast"/>
      <w:ind w:left="-454"/>
      <w:jc w:val="center"/>
      <w:rPr>
        <w:b/>
        <w:bCs/>
        <w:iCs/>
        <w:w w:val="200"/>
        <w:sz w:val="14"/>
        <w:szCs w:val="14"/>
        <w:lang w:val="es-ES" w:eastAsia="es-ES"/>
      </w:rPr>
    </w:pPr>
    <w:r>
      <w:rPr>
        <w:b/>
        <w:bCs/>
        <w:iCs/>
        <w:noProof/>
        <w:sz w:val="14"/>
        <w:szCs w:val="14"/>
        <w:lang w:eastAsia="es-CO"/>
      </w:rPr>
      <w:drawing>
        <wp:anchor distT="0" distB="0" distL="114300" distR="114300" simplePos="0" relativeHeight="251660288" behindDoc="0" locked="0" layoutInCell="1" allowOverlap="1">
          <wp:simplePos x="0" y="0"/>
          <wp:positionH relativeFrom="column">
            <wp:posOffset>5043170</wp:posOffset>
          </wp:positionH>
          <wp:positionV relativeFrom="paragraph">
            <wp:posOffset>33020</wp:posOffset>
          </wp:positionV>
          <wp:extent cx="1233170" cy="999490"/>
          <wp:effectExtent l="0" t="0" r="0" b="0"/>
          <wp:wrapNone/>
          <wp:docPr id="12" name="Imagen 12"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b/>
        <w:bCs/>
        <w:iCs/>
        <w:noProof/>
        <w:sz w:val="14"/>
        <w:szCs w:val="14"/>
        <w:lang w:eastAsia="es-CO"/>
      </w:rPr>
      <w:drawing>
        <wp:anchor distT="0" distB="0" distL="114300" distR="114300" simplePos="0" relativeHeight="251659264" behindDoc="0" locked="0" layoutInCell="1" allowOverlap="1">
          <wp:simplePos x="0" y="0"/>
          <wp:positionH relativeFrom="column">
            <wp:posOffset>-412750</wp:posOffset>
          </wp:positionH>
          <wp:positionV relativeFrom="paragraph">
            <wp:posOffset>33020</wp:posOffset>
          </wp:positionV>
          <wp:extent cx="899795" cy="1035685"/>
          <wp:effectExtent l="0" t="0" r="0" b="0"/>
          <wp:wrapNone/>
          <wp:docPr id="11" name="Imagen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r w:rsidRPr="00BD17A4">
      <w:rPr>
        <w:rFonts w:ascii="Times New Roman" w:hAnsi="Times New Roman" w:cs="Times New Roman"/>
        <w:i w:val="0"/>
        <w:lang w:val="es-ES" w:eastAsia="es-ES"/>
      </w:rPr>
      <w:t xml:space="preserve">   </w:t>
    </w:r>
  </w:p>
  <w:p w:rsidR="004A2666" w:rsidRPr="00BD17A4" w:rsidRDefault="004A2666" w:rsidP="00BD17A4">
    <w:pPr>
      <w:tabs>
        <w:tab w:val="center" w:pos="993"/>
        <w:tab w:val="right" w:pos="8504"/>
      </w:tabs>
      <w:suppressAutoHyphens w:val="0"/>
      <w:spacing w:line="0" w:lineRule="atLeast"/>
      <w:ind w:left="-454"/>
      <w:jc w:val="center"/>
      <w:rPr>
        <w:bCs/>
        <w:iCs/>
        <w:w w:val="200"/>
        <w:sz w:val="14"/>
        <w:szCs w:val="14"/>
        <w:lang w:val="es-ES" w:eastAsia="es-ES"/>
      </w:rPr>
    </w:pPr>
  </w:p>
  <w:p w:rsidR="004A2666" w:rsidRPr="00BD17A4" w:rsidRDefault="004A2666" w:rsidP="00BD17A4">
    <w:pPr>
      <w:tabs>
        <w:tab w:val="center" w:pos="993"/>
        <w:tab w:val="right" w:pos="8504"/>
      </w:tabs>
      <w:suppressAutoHyphens w:val="0"/>
      <w:spacing w:line="0" w:lineRule="atLeast"/>
      <w:ind w:left="-454" w:right="170"/>
      <w:jc w:val="center"/>
      <w:rPr>
        <w:rFonts w:ascii="DokChampa" w:hAnsi="DokChampa" w:cs="DokChampa"/>
        <w:bCs/>
        <w:i w:val="0"/>
        <w:iCs/>
        <w:w w:val="200"/>
        <w:sz w:val="14"/>
        <w:szCs w:val="14"/>
        <w:lang w:val="es-ES" w:eastAsia="es-ES"/>
      </w:rPr>
    </w:pPr>
    <w:r w:rsidRPr="00BD17A4">
      <w:rPr>
        <w:rFonts w:ascii="DokChampa" w:hAnsi="DokChampa" w:cs="DokChampa"/>
        <w:bCs/>
        <w:i w:val="0"/>
        <w:iCs/>
        <w:w w:val="200"/>
        <w:sz w:val="14"/>
        <w:szCs w:val="14"/>
        <w:lang w:val="es-ES" w:eastAsia="es-ES"/>
      </w:rPr>
      <w:t xml:space="preserve">Supervisión para el crecimiento social </w:t>
    </w:r>
    <w:r w:rsidRPr="00BD17A4">
      <w:rPr>
        <w:rFonts w:ascii="DokChampa" w:hAnsi="DokChampa" w:cs="DokChampa"/>
        <w:bCs/>
        <w:i w:val="0"/>
        <w:iCs/>
        <w:w w:val="200"/>
        <w:sz w:val="14"/>
        <w:szCs w:val="14"/>
        <w:lang w:val="es-ES" w:eastAsia="es-ES"/>
      </w:rPr>
      <w:br/>
      <w:t>y económico del sector solidario</w:t>
    </w:r>
  </w:p>
  <w:p w:rsidR="004A2666" w:rsidRPr="00BD17A4" w:rsidRDefault="004A2666" w:rsidP="00BD17A4">
    <w:pPr>
      <w:tabs>
        <w:tab w:val="center" w:pos="993"/>
        <w:tab w:val="right" w:pos="8504"/>
      </w:tabs>
      <w:suppressAutoHyphens w:val="0"/>
      <w:spacing w:line="40" w:lineRule="atLeast"/>
      <w:ind w:left="-454" w:right="170"/>
      <w:jc w:val="center"/>
      <w:rPr>
        <w:rFonts w:ascii="Times New Roman" w:hAnsi="Times New Roman" w:cs="Times New Roman"/>
        <w:i w:val="0"/>
        <w:lang w:val="es-ES" w:eastAsia="es-ES"/>
      </w:rPr>
    </w:pPr>
    <w:r>
      <w:rPr>
        <w:rFonts w:ascii="Times New Roman" w:hAnsi="Times New Roman" w:cs="Times New Roman"/>
        <w:i w:val="0"/>
        <w:noProof/>
        <w:lang w:eastAsia="es-CO"/>
      </w:rPr>
      <w:drawing>
        <wp:inline distT="0" distB="0" distL="0" distR="0">
          <wp:extent cx="3933825" cy="19050"/>
          <wp:effectExtent l="0" t="0" r="0" b="0"/>
          <wp:docPr id="6" name="Imagen 6"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inea"/>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19050"/>
                  </a:xfrm>
                  <a:prstGeom prst="rect">
                    <a:avLst/>
                  </a:prstGeom>
                  <a:noFill/>
                  <a:ln>
                    <a:noFill/>
                  </a:ln>
                </pic:spPr>
              </pic:pic>
            </a:graphicData>
          </a:graphic>
        </wp:inline>
      </w:drawing>
    </w:r>
  </w:p>
  <w:p w:rsidR="004A2666" w:rsidRPr="00BD17A4" w:rsidRDefault="004A2666" w:rsidP="00BD17A4">
    <w:pPr>
      <w:tabs>
        <w:tab w:val="center" w:pos="993"/>
        <w:tab w:val="right" w:pos="8504"/>
      </w:tabs>
      <w:suppressAutoHyphens w:val="0"/>
      <w:spacing w:line="40" w:lineRule="atLeast"/>
      <w:ind w:left="-454" w:right="170"/>
      <w:jc w:val="center"/>
      <w:rPr>
        <w:i w:val="0"/>
        <w:sz w:val="6"/>
        <w:szCs w:val="6"/>
        <w:lang w:val="es-ES" w:eastAsia="es-ES"/>
      </w:rPr>
    </w:pPr>
  </w:p>
  <w:p w:rsidR="004A2666" w:rsidRPr="00BD17A4" w:rsidRDefault="004A2666" w:rsidP="00BD17A4">
    <w:pPr>
      <w:tabs>
        <w:tab w:val="center" w:pos="993"/>
        <w:tab w:val="right" w:pos="8504"/>
      </w:tabs>
      <w:suppressAutoHyphens w:val="0"/>
      <w:spacing w:line="40" w:lineRule="atLeast"/>
      <w:ind w:left="-454" w:right="170"/>
      <w:jc w:val="center"/>
      <w:rPr>
        <w:i w:val="0"/>
        <w:sz w:val="15"/>
        <w:lang w:val="fr-FR" w:eastAsia="es-ES"/>
      </w:rPr>
    </w:pPr>
    <w:r w:rsidRPr="00BD17A4">
      <w:rPr>
        <w:i w:val="0"/>
        <w:sz w:val="15"/>
        <w:lang w:val="es-ES" w:eastAsia="es-ES"/>
      </w:rPr>
      <w:t xml:space="preserve">Carrera 7 No. 31-10 Piso 11. </w:t>
    </w:r>
    <w:r w:rsidRPr="00BD17A4">
      <w:rPr>
        <w:i w:val="0"/>
        <w:sz w:val="15"/>
        <w:lang w:val="fr-FR" w:eastAsia="es-ES"/>
      </w:rPr>
      <w:t>PBX (1) 4895009. FAX – Extensión 125 Línea gratuita 018000 511737</w:t>
    </w:r>
  </w:p>
  <w:p w:rsidR="004A2666" w:rsidRPr="00BD17A4" w:rsidRDefault="004A2666" w:rsidP="00BD17A4">
    <w:pPr>
      <w:tabs>
        <w:tab w:val="center" w:pos="993"/>
        <w:tab w:val="right" w:pos="8504"/>
      </w:tabs>
      <w:suppressAutoHyphens w:val="0"/>
      <w:spacing w:line="0" w:lineRule="atLeast"/>
      <w:ind w:left="-454" w:right="170"/>
      <w:jc w:val="center"/>
      <w:rPr>
        <w:i w:val="0"/>
        <w:sz w:val="15"/>
        <w:lang w:val="es-ES" w:eastAsia="es-ES"/>
      </w:rPr>
    </w:pPr>
    <w:proofErr w:type="gramStart"/>
    <w:r w:rsidRPr="00BD17A4">
      <w:rPr>
        <w:i w:val="0"/>
        <w:sz w:val="15"/>
        <w:lang w:val="es-ES" w:eastAsia="es-ES"/>
      </w:rPr>
      <w:t>www.supersolidaria.gov.co  Correo</w:t>
    </w:r>
    <w:proofErr w:type="gramEnd"/>
    <w:r w:rsidRPr="00BD17A4">
      <w:rPr>
        <w:i w:val="0"/>
        <w:sz w:val="15"/>
        <w:lang w:val="es-ES" w:eastAsia="es-ES"/>
      </w:rPr>
      <w:t xml:space="preserve"> electrónico: cau@supersolidaria.gov.co</w:t>
    </w:r>
  </w:p>
  <w:p w:rsidR="004A2666" w:rsidRPr="00BD17A4" w:rsidRDefault="004A2666" w:rsidP="00BD17A4">
    <w:pPr>
      <w:tabs>
        <w:tab w:val="center" w:pos="993"/>
        <w:tab w:val="right" w:pos="8504"/>
      </w:tabs>
      <w:suppressAutoHyphens w:val="0"/>
      <w:ind w:left="-454" w:right="170"/>
      <w:jc w:val="center"/>
      <w:rPr>
        <w:rFonts w:ascii="Times New Roman" w:hAnsi="Times New Roman" w:cs="Times New Roman"/>
        <w:i w:val="0"/>
        <w:lang w:val="es-ES" w:eastAsia="es-ES"/>
      </w:rPr>
    </w:pPr>
    <w:r w:rsidRPr="00BD17A4">
      <w:rPr>
        <w:i w:val="0"/>
        <w:sz w:val="15"/>
        <w:lang w:val="es-ES" w:eastAsia="es-ES"/>
      </w:rPr>
      <w:t>NIT: 830.053.043 5 Bogotá D.C., Colombia</w:t>
    </w:r>
    <w:r w:rsidRPr="00BD17A4">
      <w:rPr>
        <w:rFonts w:ascii="Times New Roman" w:hAnsi="Times New Roman" w:cs="Times New Roman"/>
        <w:i w:val="0"/>
        <w:lang w:val="es-ES" w:eastAsia="es-ES"/>
      </w:rPr>
      <w:t xml:space="preserve"> </w:t>
    </w:r>
  </w:p>
  <w:p w:rsidR="004A2666" w:rsidRPr="00BD17A4" w:rsidRDefault="004A2666" w:rsidP="00BD17A4">
    <w:pPr>
      <w:tabs>
        <w:tab w:val="center" w:pos="4252"/>
        <w:tab w:val="right" w:pos="8504"/>
      </w:tabs>
      <w:suppressAutoHyphens w:val="0"/>
      <w:rPr>
        <w:rFonts w:ascii="Times New Roman" w:hAnsi="Times New Roman" w:cs="Times New Roman"/>
        <w:i w:val="0"/>
        <w:lang w:val="es-ES" w:eastAsia="es-ES"/>
      </w:rPr>
    </w:pPr>
  </w:p>
  <w:p w:rsidR="004A2666" w:rsidRPr="000315A7" w:rsidRDefault="004A2666" w:rsidP="00773ACA">
    <w:pPr>
      <w:pStyle w:val="Piedepgina"/>
      <w:rPr>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E3" w:rsidRDefault="000C49E3">
      <w:r>
        <w:separator/>
      </w:r>
    </w:p>
  </w:footnote>
  <w:footnote w:type="continuationSeparator" w:id="0">
    <w:p w:rsidR="000C49E3" w:rsidRDefault="000C49E3">
      <w:r>
        <w:continuationSeparator/>
      </w:r>
    </w:p>
  </w:footnote>
  <w:footnote w:id="1">
    <w:p w:rsidR="004A2666" w:rsidRDefault="004A2666" w:rsidP="00231877">
      <w:pPr>
        <w:autoSpaceDE w:val="0"/>
        <w:autoSpaceDN w:val="0"/>
        <w:adjustRightInd w:val="0"/>
        <w:jc w:val="both"/>
        <w:rPr>
          <w:sz w:val="16"/>
          <w:szCs w:val="16"/>
        </w:rPr>
      </w:pPr>
      <w:r>
        <w:rPr>
          <w:rStyle w:val="Refdenotaalpie"/>
          <w:sz w:val="16"/>
          <w:szCs w:val="16"/>
        </w:rPr>
        <w:footnoteRef/>
      </w:r>
      <w:r>
        <w:rPr>
          <w:sz w:val="16"/>
          <w:szCs w:val="16"/>
        </w:rPr>
        <w:t xml:space="preserve"> Artículo 2.11.5.2.1.1 del Decreto 344 de 2017. </w:t>
      </w:r>
      <w:r w:rsidRPr="00231877">
        <w:rPr>
          <w:b/>
          <w:sz w:val="16"/>
          <w:szCs w:val="16"/>
        </w:rPr>
        <w:t>Indicador de Solidez</w:t>
      </w:r>
      <w:r>
        <w:rPr>
          <w:sz w:val="16"/>
          <w:szCs w:val="16"/>
        </w:rPr>
        <w:t xml:space="preserve">: El indicador de solidez se define como el valor del patrimonio técnico de que trata el artículo 2.11.5.2.1.3 del presente decreto, dividido por el valor de los activos ponderados por nivel de riesgo crediticio a que se refiere el artículo 2.11.5.2.1.7 del presente decreto.  Este indicador se expresa en términos porcentuales. </w:t>
      </w:r>
    </w:p>
    <w:p w:rsidR="004A2666" w:rsidRDefault="004A2666" w:rsidP="00AB7D4E">
      <w:pPr>
        <w:autoSpaceDE w:val="0"/>
        <w:autoSpaceDN w:val="0"/>
        <w:adjustRightInd w:val="0"/>
        <w:jc w:val="both"/>
        <w:rPr>
          <w:sz w:val="16"/>
          <w:szCs w:val="16"/>
        </w:rPr>
      </w:pPr>
      <w:r>
        <w:rPr>
          <w:sz w:val="16"/>
          <w:szCs w:val="16"/>
        </w:rPr>
        <w:t>El indicador de solidez mínimo de los Fondos de empleados de categoría plena será del nueve por ciento (9%).</w:t>
      </w:r>
    </w:p>
    <w:p w:rsidR="004A2666" w:rsidRPr="00D5121B" w:rsidRDefault="004A2666" w:rsidP="00AB7D4E">
      <w:pPr>
        <w:autoSpaceDE w:val="0"/>
        <w:autoSpaceDN w:val="0"/>
        <w:adjustRightInd w:val="0"/>
        <w:jc w:val="both"/>
        <w:rPr>
          <w:color w:val="FF0000"/>
          <w:sz w:val="16"/>
          <w:szCs w:val="16"/>
        </w:rPr>
      </w:pPr>
      <w:r>
        <w:rPr>
          <w:sz w:val="16"/>
          <w:szCs w:val="16"/>
        </w:rPr>
        <w:t xml:space="preserve">  </w:t>
      </w:r>
      <w:r w:rsidRPr="00D5121B">
        <w:rPr>
          <w:sz w:val="16"/>
          <w:szCs w:val="16"/>
        </w:rPr>
        <w:t xml:space="preserve"> </w:t>
      </w:r>
    </w:p>
  </w:footnote>
  <w:footnote w:id="2">
    <w:p w:rsidR="004A2666" w:rsidRPr="00D5121B" w:rsidRDefault="004A2666" w:rsidP="00735C26">
      <w:pPr>
        <w:autoSpaceDE w:val="0"/>
        <w:autoSpaceDN w:val="0"/>
        <w:adjustRightInd w:val="0"/>
        <w:jc w:val="both"/>
        <w:rPr>
          <w:color w:val="FF0000"/>
          <w:sz w:val="16"/>
          <w:szCs w:val="16"/>
        </w:rPr>
      </w:pPr>
      <w:r>
        <w:rPr>
          <w:rStyle w:val="Refdenotaalpie"/>
          <w:sz w:val="16"/>
          <w:szCs w:val="16"/>
        </w:rPr>
        <w:footnoteRef/>
      </w:r>
      <w:r>
        <w:rPr>
          <w:sz w:val="16"/>
          <w:szCs w:val="16"/>
        </w:rPr>
        <w:t xml:space="preserve"> </w:t>
      </w:r>
      <w:r w:rsidRPr="00735C26">
        <w:rPr>
          <w:b/>
          <w:sz w:val="16"/>
          <w:szCs w:val="16"/>
        </w:rPr>
        <w:t>CUC</w:t>
      </w:r>
      <w:r>
        <w:rPr>
          <w:sz w:val="16"/>
          <w:szCs w:val="16"/>
        </w:rPr>
        <w:t xml:space="preserve">: </w:t>
      </w:r>
      <w:r w:rsidRPr="00735C26">
        <w:rPr>
          <w:sz w:val="16"/>
          <w:szCs w:val="16"/>
        </w:rPr>
        <w:t>CATÁLOGO ÚNICO DE INFORMACIÓN FINANCIERA CON FINES DE SUPERVISIÓN para las organizaciones solidarias vigiladas por la Superintendencia de la Economía Solidaria</w:t>
      </w:r>
      <w:r>
        <w:rPr>
          <w:sz w:val="16"/>
          <w:szCs w:val="16"/>
        </w:rPr>
        <w:t xml:space="preserve">, adoptado mediante Resolución </w:t>
      </w:r>
      <w:r w:rsidRPr="00735C26">
        <w:rPr>
          <w:sz w:val="16"/>
          <w:szCs w:val="16"/>
        </w:rPr>
        <w:t xml:space="preserve">2015110009615 de 13 de noviembre de 2015 y sus modificaciones. </w:t>
      </w:r>
      <w:r>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66" w:rsidRDefault="004A2666" w:rsidP="00C64ECE">
    <w:pPr>
      <w:pStyle w:val="Encabezado"/>
      <w:ind w:left="-709" w:right="-942"/>
    </w:pPr>
    <w:r>
      <w:rPr>
        <w:sz w:val="28"/>
        <w:szCs w:val="28"/>
      </w:rPr>
      <w:tab/>
    </w:r>
    <w:r>
      <w:rPr>
        <w:noProof/>
        <w:lang w:eastAsia="es-CO"/>
      </w:rPr>
      <w:drawing>
        <wp:inline distT="0" distB="0" distL="0" distR="0">
          <wp:extent cx="2219325" cy="704850"/>
          <wp:effectExtent l="0" t="0" r="0" b="0"/>
          <wp:docPr id="1"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inline>
      </w:drawing>
    </w:r>
    <w:r>
      <w:t xml:space="preserve">                                                                         </w:t>
    </w:r>
    <w:r>
      <w:rPr>
        <w:noProof/>
        <w:lang w:eastAsia="es-CO"/>
      </w:rPr>
      <w:drawing>
        <wp:inline distT="0" distB="0" distL="0" distR="0">
          <wp:extent cx="1428750" cy="581025"/>
          <wp:effectExtent l="0" t="0" r="0" b="0"/>
          <wp:docPr id="2" name="Imagen 2" descr="TODOS por un nuevo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DOS por un nuevo paí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p>
  <w:p w:rsidR="004A2666" w:rsidRDefault="004A2666" w:rsidP="00C64ECE">
    <w:pPr>
      <w:pStyle w:val="Ttulo1"/>
      <w:tabs>
        <w:tab w:val="left" w:pos="765"/>
      </w:tabs>
      <w:rPr>
        <w:sz w:val="28"/>
        <w:szCs w:val="28"/>
      </w:rPr>
    </w:pPr>
  </w:p>
  <w:p w:rsidR="004A2666" w:rsidRDefault="004A2666" w:rsidP="00C64ECE">
    <w:pPr>
      <w:pStyle w:val="Ttulo1"/>
      <w:jc w:val="center"/>
      <w:rPr>
        <w:sz w:val="28"/>
        <w:szCs w:val="28"/>
      </w:rPr>
    </w:pPr>
  </w:p>
  <w:p w:rsidR="004A2666" w:rsidRDefault="004A2666" w:rsidP="00C64ECE">
    <w:pPr>
      <w:pStyle w:val="Ttulo1"/>
      <w:jc w:val="center"/>
      <w:rPr>
        <w:sz w:val="28"/>
        <w:szCs w:val="28"/>
      </w:rPr>
    </w:pPr>
  </w:p>
  <w:p w:rsidR="004A2666" w:rsidRDefault="004A2666">
    <w:pPr>
      <w:ind w:right="-59"/>
      <w:rPr>
        <w:rStyle w:val="Nmerodepgina"/>
        <w:rFonts w:cs="Arial"/>
        <w:iCs/>
        <w:sz w:val="18"/>
        <w:szCs w:val="18"/>
      </w:rPr>
    </w:pPr>
    <w:bookmarkStart w:id="3" w:name="codigogrupoorganizativo_1"/>
    <w:r>
      <w:rPr>
        <w:bCs/>
        <w:sz w:val="18"/>
        <w:szCs w:val="18"/>
        <w:lang w:val="es-ES_tradnl"/>
      </w:rPr>
      <w:t xml:space="preserve">  </w:t>
    </w:r>
    <w:bookmarkEnd w:id="3"/>
    <w:r>
      <w:rPr>
        <w:bCs/>
        <w:sz w:val="18"/>
        <w:szCs w:val="18"/>
        <w:lang w:val="es-ES_tradnl"/>
      </w:rPr>
      <w:t xml:space="preserve"> - Circular Externa No. </w:t>
    </w:r>
    <w:bookmarkStart w:id="4" w:name="numassigned_2"/>
    <w:r>
      <w:rPr>
        <w:bCs/>
        <w:sz w:val="18"/>
        <w:szCs w:val="18"/>
        <w:lang w:val="es-ES_tradnl"/>
      </w:rPr>
      <w:t xml:space="preserve">  </w:t>
    </w:r>
    <w:bookmarkEnd w:id="4"/>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610F41">
      <w:rPr>
        <w:rStyle w:val="Nmerodepgina"/>
        <w:rFonts w:cs="Arial"/>
        <w:iCs/>
        <w:noProof/>
        <w:sz w:val="18"/>
        <w:szCs w:val="18"/>
      </w:rPr>
      <w:t>21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610F41">
      <w:rPr>
        <w:rStyle w:val="Nmerodepgina"/>
        <w:rFonts w:cs="Arial"/>
        <w:iCs/>
        <w:noProof/>
        <w:sz w:val="18"/>
        <w:szCs w:val="18"/>
      </w:rPr>
      <w:t>37</w:t>
    </w:r>
    <w:r>
      <w:rPr>
        <w:rStyle w:val="Nmerodepgina"/>
        <w:rFonts w:cs="Arial"/>
        <w:iCs/>
        <w:sz w:val="18"/>
        <w:szCs w:val="18"/>
      </w:rPr>
      <w:fldChar w:fldCharType="end"/>
    </w:r>
  </w:p>
  <w:p w:rsidR="004A2666" w:rsidRDefault="004A2666">
    <w:pPr>
      <w:ind w:right="-59"/>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66" w:rsidRDefault="004A2666" w:rsidP="00BD17A4">
    <w:pPr>
      <w:pStyle w:val="Encabezado"/>
      <w:ind w:left="-709" w:right="-942"/>
    </w:pPr>
    <w:r>
      <w:rPr>
        <w:noProof/>
        <w:lang w:eastAsia="es-CO"/>
      </w:rPr>
      <w:drawing>
        <wp:inline distT="0" distB="0" distL="0" distR="0" wp14:anchorId="71397A69" wp14:editId="4519F58C">
          <wp:extent cx="2228850" cy="714375"/>
          <wp:effectExtent l="0" t="0" r="0" b="0"/>
          <wp:docPr id="4" name="Imagen 4"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t xml:space="preserve">                                                                         </w:t>
    </w:r>
    <w:r>
      <w:rPr>
        <w:noProof/>
        <w:lang w:eastAsia="es-CO"/>
      </w:rPr>
      <w:drawing>
        <wp:inline distT="0" distB="0" distL="0" distR="0" wp14:anchorId="0FEDC8D0" wp14:editId="303D9BF2">
          <wp:extent cx="1428750" cy="590550"/>
          <wp:effectExtent l="0" t="0" r="0" b="0"/>
          <wp:docPr id="5" name="Imagen 5" descr="TODOS por un nuevo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DOS por un nuevo paí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inline>
      </w:drawing>
    </w:r>
  </w:p>
  <w:p w:rsidR="004A2666" w:rsidRDefault="004A2666">
    <w:pPr>
      <w:pStyle w:val="Encabezado"/>
    </w:pPr>
  </w:p>
  <w:p w:rsidR="004A2666" w:rsidRDefault="004A2666">
    <w:pPr>
      <w:pStyle w:val="Encabezado"/>
    </w:pPr>
  </w:p>
  <w:p w:rsidR="004A2666" w:rsidRPr="00FA17E0" w:rsidRDefault="004A2666" w:rsidP="00EC3A42">
    <w:pPr>
      <w:pStyle w:val="Ttulo1"/>
      <w:rPr>
        <w:sz w:val="22"/>
        <w:szCs w:val="22"/>
      </w:rPr>
    </w:pPr>
  </w:p>
  <w:p w:rsidR="004A2666" w:rsidRDefault="004A2666" w:rsidP="00EC3A42">
    <w:pPr>
      <w:pStyle w:val="Ttulo1"/>
      <w:jc w:val="center"/>
      <w:rPr>
        <w:sz w:val="28"/>
        <w:szCs w:val="28"/>
      </w:rPr>
    </w:pPr>
    <w:r>
      <w:rPr>
        <w:sz w:val="28"/>
        <w:szCs w:val="28"/>
      </w:rPr>
      <w:t xml:space="preserve">CARTA CIRCULAR No. </w:t>
    </w:r>
    <w:bookmarkStart w:id="5" w:name="numassigned"/>
    <w:r>
      <w:rPr>
        <w:sz w:val="28"/>
        <w:szCs w:val="28"/>
      </w:rPr>
      <w:t xml:space="preserve">  </w:t>
    </w:r>
    <w:bookmarkEnd w:id="5"/>
  </w:p>
  <w:p w:rsidR="004A2666" w:rsidRDefault="004A2666" w:rsidP="00EC3A42">
    <w:pPr>
      <w:rPr>
        <w:b/>
        <w:bCs/>
        <w:i w:val="0"/>
      </w:rPr>
    </w:pPr>
  </w:p>
  <w:p w:rsidR="004A2666" w:rsidRDefault="004A2666" w:rsidP="00EC3A42">
    <w:pPr>
      <w:rPr>
        <w:b/>
        <w:bCs/>
        <w:i w:val="0"/>
      </w:rPr>
    </w:pPr>
  </w:p>
  <w:tbl>
    <w:tblPr>
      <w:tblW w:w="0" w:type="auto"/>
      <w:tblLook w:val="00A0" w:firstRow="1" w:lastRow="0" w:firstColumn="1" w:lastColumn="0" w:noHBand="0" w:noVBand="0"/>
    </w:tblPr>
    <w:tblGrid>
      <w:gridCol w:w="1518"/>
      <w:gridCol w:w="7605"/>
    </w:tblGrid>
    <w:tr w:rsidR="004A2666" w:rsidTr="000F39FB">
      <w:tc>
        <w:tcPr>
          <w:tcW w:w="1526" w:type="dxa"/>
        </w:tcPr>
        <w:p w:rsidR="004A2666" w:rsidRPr="007922E4" w:rsidRDefault="004A2666" w:rsidP="00EC3A42">
          <w:pPr>
            <w:rPr>
              <w:b/>
              <w:bCs/>
              <w:i w:val="0"/>
            </w:rPr>
          </w:pPr>
          <w:r w:rsidRPr="007922E4">
            <w:rPr>
              <w:b/>
              <w:bCs/>
              <w:i w:val="0"/>
              <w:sz w:val="22"/>
              <w:szCs w:val="22"/>
            </w:rPr>
            <w:t>PARA:</w:t>
          </w:r>
        </w:p>
      </w:tc>
      <w:tc>
        <w:tcPr>
          <w:tcW w:w="7737" w:type="dxa"/>
        </w:tcPr>
        <w:p w:rsidR="004A2666" w:rsidRPr="007922E4" w:rsidRDefault="004A2666" w:rsidP="00FB2F7B">
          <w:pPr>
            <w:jc w:val="both"/>
            <w:rPr>
              <w:b/>
              <w:bCs/>
              <w:i w:val="0"/>
            </w:rPr>
          </w:pPr>
          <w:r>
            <w:rPr>
              <w:b/>
              <w:bCs/>
              <w:i w:val="0"/>
              <w:sz w:val="22"/>
              <w:szCs w:val="22"/>
            </w:rPr>
            <w:t>REPRESENTANTES LEGALES, MIEMBROS DE JUNTAS DIRECTIVAS, COMITÉS DE CONTROL SOCIAL Y REVISORES FISCALES DE LOS FONDOS DE EMPLEADOS DE CATEGORIA PLENA</w:t>
          </w:r>
        </w:p>
      </w:tc>
    </w:tr>
    <w:tr w:rsidR="004A2666" w:rsidTr="000F39FB">
      <w:tc>
        <w:tcPr>
          <w:tcW w:w="1526" w:type="dxa"/>
        </w:tcPr>
        <w:p w:rsidR="004A2666" w:rsidRDefault="004A2666" w:rsidP="00EC3A42">
          <w:pPr>
            <w:rPr>
              <w:b/>
              <w:bCs/>
              <w:i w:val="0"/>
              <w:sz w:val="22"/>
              <w:szCs w:val="22"/>
            </w:rPr>
          </w:pPr>
        </w:p>
        <w:p w:rsidR="004A2666" w:rsidRPr="007922E4" w:rsidRDefault="004A2666" w:rsidP="00EC3A42">
          <w:pPr>
            <w:rPr>
              <w:b/>
              <w:bCs/>
              <w:i w:val="0"/>
            </w:rPr>
          </w:pPr>
          <w:r w:rsidRPr="007922E4">
            <w:rPr>
              <w:b/>
              <w:bCs/>
              <w:i w:val="0"/>
              <w:sz w:val="22"/>
              <w:szCs w:val="22"/>
            </w:rPr>
            <w:t>DE:</w:t>
          </w:r>
        </w:p>
      </w:tc>
      <w:tc>
        <w:tcPr>
          <w:tcW w:w="7737" w:type="dxa"/>
        </w:tcPr>
        <w:p w:rsidR="004A2666" w:rsidRDefault="004A2666" w:rsidP="00FB2F7B">
          <w:pPr>
            <w:jc w:val="both"/>
            <w:rPr>
              <w:b/>
              <w:bCs/>
              <w:i w:val="0"/>
              <w:sz w:val="22"/>
              <w:szCs w:val="22"/>
            </w:rPr>
          </w:pPr>
        </w:p>
        <w:p w:rsidR="004A2666" w:rsidRPr="007922E4" w:rsidRDefault="004A2666" w:rsidP="00FB2F7B">
          <w:pPr>
            <w:jc w:val="both"/>
            <w:rPr>
              <w:b/>
              <w:bCs/>
              <w:i w:val="0"/>
            </w:rPr>
          </w:pPr>
          <w:r>
            <w:rPr>
              <w:b/>
              <w:bCs/>
              <w:i w:val="0"/>
              <w:sz w:val="22"/>
              <w:szCs w:val="22"/>
            </w:rPr>
            <w:t xml:space="preserve">SUPERINTENDENTE DE LA ECONOMÍA SOLIDARIA </w:t>
          </w:r>
        </w:p>
      </w:tc>
    </w:tr>
    <w:tr w:rsidR="004A2666" w:rsidTr="000F39FB">
      <w:tc>
        <w:tcPr>
          <w:tcW w:w="1526" w:type="dxa"/>
        </w:tcPr>
        <w:p w:rsidR="004A2666" w:rsidRDefault="004A2666" w:rsidP="00EC3A42">
          <w:pPr>
            <w:rPr>
              <w:b/>
              <w:bCs/>
              <w:i w:val="0"/>
              <w:sz w:val="22"/>
              <w:szCs w:val="22"/>
            </w:rPr>
          </w:pPr>
        </w:p>
        <w:p w:rsidR="004A2666" w:rsidRPr="007922E4" w:rsidRDefault="004A2666" w:rsidP="00EC3A42">
          <w:pPr>
            <w:rPr>
              <w:b/>
              <w:bCs/>
              <w:i w:val="0"/>
            </w:rPr>
          </w:pPr>
          <w:r w:rsidRPr="007922E4">
            <w:rPr>
              <w:b/>
              <w:bCs/>
              <w:i w:val="0"/>
              <w:sz w:val="22"/>
              <w:szCs w:val="22"/>
            </w:rPr>
            <w:t>ASUNTO:</w:t>
          </w:r>
        </w:p>
      </w:tc>
      <w:tc>
        <w:tcPr>
          <w:tcW w:w="7737" w:type="dxa"/>
        </w:tcPr>
        <w:p w:rsidR="004A2666" w:rsidRDefault="004A2666" w:rsidP="00FB2F7B">
          <w:pPr>
            <w:jc w:val="both"/>
            <w:rPr>
              <w:b/>
              <w:bCs/>
              <w:i w:val="0"/>
              <w:sz w:val="22"/>
              <w:szCs w:val="22"/>
            </w:rPr>
          </w:pPr>
          <w:bookmarkStart w:id="6" w:name="grl_issue"/>
        </w:p>
        <w:p w:rsidR="004A2666" w:rsidRPr="007922E4" w:rsidRDefault="004A2666" w:rsidP="00AC2472">
          <w:pPr>
            <w:jc w:val="both"/>
            <w:rPr>
              <w:b/>
              <w:bCs/>
              <w:i w:val="0"/>
            </w:rPr>
          </w:pPr>
          <w:r>
            <w:rPr>
              <w:b/>
              <w:bCs/>
              <w:i w:val="0"/>
              <w:sz w:val="22"/>
              <w:szCs w:val="22"/>
            </w:rPr>
            <w:t>INSTRUCCIONES PARA EL CALCULO DEL INDICADOR DE SO</w:t>
          </w:r>
          <w:r w:rsidR="002A1BA7">
            <w:rPr>
              <w:b/>
              <w:bCs/>
              <w:i w:val="0"/>
              <w:sz w:val="22"/>
              <w:szCs w:val="22"/>
            </w:rPr>
            <w:t>LIDEZ, DETERMINACIÓN DEL PATRIM</w:t>
          </w:r>
          <w:r>
            <w:rPr>
              <w:b/>
              <w:bCs/>
              <w:i w:val="0"/>
              <w:sz w:val="22"/>
              <w:szCs w:val="22"/>
            </w:rPr>
            <w:t>ONIO TÉCNICO Y CLASIFICACIÓN DE ACTIVOS Y CONTINGENCIAS PARA LA PONDERACIÓN DE ACTIVOS POR NIVEL DE RIESGO QUE EXIGE EL DECRETO 344 DE 2017</w:t>
          </w:r>
          <w:r w:rsidRPr="007922E4">
            <w:rPr>
              <w:b/>
              <w:bCs/>
              <w:i w:val="0"/>
              <w:sz w:val="22"/>
              <w:szCs w:val="22"/>
            </w:rPr>
            <w:t xml:space="preserve">  </w:t>
          </w:r>
          <w:bookmarkEnd w:id="6"/>
        </w:p>
      </w:tc>
    </w:tr>
    <w:tr w:rsidR="004A2666" w:rsidTr="000F39FB">
      <w:tc>
        <w:tcPr>
          <w:tcW w:w="1526" w:type="dxa"/>
        </w:tcPr>
        <w:p w:rsidR="004A2666" w:rsidRDefault="004A2666" w:rsidP="00EC3A42">
          <w:pPr>
            <w:rPr>
              <w:b/>
              <w:bCs/>
              <w:i w:val="0"/>
              <w:sz w:val="22"/>
              <w:szCs w:val="22"/>
            </w:rPr>
          </w:pPr>
        </w:p>
        <w:p w:rsidR="004A2666" w:rsidRPr="007922E4" w:rsidRDefault="004A2666" w:rsidP="00EC3A42">
          <w:pPr>
            <w:rPr>
              <w:b/>
              <w:bCs/>
              <w:i w:val="0"/>
            </w:rPr>
          </w:pPr>
          <w:r w:rsidRPr="007922E4">
            <w:rPr>
              <w:b/>
              <w:bCs/>
              <w:i w:val="0"/>
              <w:sz w:val="22"/>
              <w:szCs w:val="22"/>
            </w:rPr>
            <w:t>FECHA:</w:t>
          </w:r>
        </w:p>
      </w:tc>
      <w:tc>
        <w:tcPr>
          <w:tcW w:w="7737" w:type="dxa"/>
        </w:tcPr>
        <w:p w:rsidR="004A2666" w:rsidRDefault="004A2666" w:rsidP="00EC3A42">
          <w:pPr>
            <w:rPr>
              <w:b/>
              <w:bCs/>
              <w:i w:val="0"/>
              <w:sz w:val="22"/>
              <w:szCs w:val="22"/>
            </w:rPr>
          </w:pPr>
        </w:p>
        <w:p w:rsidR="004A2666" w:rsidRPr="007922E4" w:rsidRDefault="004A2666" w:rsidP="00EC3A42">
          <w:pPr>
            <w:rPr>
              <w:b/>
              <w:bCs/>
              <w:i w:val="0"/>
            </w:rPr>
          </w:pPr>
          <w:r w:rsidRPr="007922E4">
            <w:rPr>
              <w:b/>
              <w:bCs/>
              <w:i w:val="0"/>
              <w:sz w:val="22"/>
              <w:szCs w:val="22"/>
            </w:rPr>
            <w:t xml:space="preserve">Bogotá D.C., </w:t>
          </w:r>
          <w:bookmarkStart w:id="7" w:name="fecassignedlong"/>
          <w:r w:rsidRPr="007922E4">
            <w:rPr>
              <w:b/>
              <w:bCs/>
              <w:i w:val="0"/>
              <w:sz w:val="22"/>
              <w:szCs w:val="22"/>
            </w:rPr>
            <w:t xml:space="preserve">  </w:t>
          </w:r>
          <w:bookmarkEnd w:id="7"/>
        </w:p>
      </w:tc>
    </w:tr>
  </w:tbl>
  <w:p w:rsidR="004A2666" w:rsidRDefault="004A2666" w:rsidP="00EC3A42">
    <w:pPr>
      <w:rPr>
        <w:b/>
        <w:bCs/>
        <w:i w:val="0"/>
      </w:rPr>
    </w:pPr>
  </w:p>
  <w:p w:rsidR="004A2666" w:rsidRDefault="004A2666" w:rsidP="00EC3A42">
    <w:pPr>
      <w:rPr>
        <w:b/>
        <w:bCs/>
        <w:i w:val="0"/>
        <w:sz w:val="22"/>
        <w:szCs w:val="22"/>
      </w:rPr>
    </w:pPr>
    <w:r>
      <w:rPr>
        <w:noProof/>
        <w:lang w:eastAsia="es-CO"/>
      </w:rPr>
      <mc:AlternateContent>
        <mc:Choice Requires="wps">
          <w:drawing>
            <wp:anchor distT="0" distB="0" distL="114300" distR="114300" simplePos="0" relativeHeight="251667456" behindDoc="0" locked="0" layoutInCell="1" allowOverlap="1" wp14:anchorId="46945839" wp14:editId="44095D38">
              <wp:simplePos x="0" y="0"/>
              <wp:positionH relativeFrom="column">
                <wp:posOffset>9525</wp:posOffset>
              </wp:positionH>
              <wp:positionV relativeFrom="paragraph">
                <wp:posOffset>71120</wp:posOffset>
              </wp:positionV>
              <wp:extent cx="5638800" cy="0"/>
              <wp:effectExtent l="28575" t="33020" r="28575" b="33655"/>
              <wp:wrapTopAndBottom/>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0BE052"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Z7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Dj3bZ7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rsidR="004A2666" w:rsidRDefault="004A2666" w:rsidP="00EC3A42">
    <w:pPr>
      <w:ind w:right="-59"/>
      <w:rPr>
        <w:bCs/>
        <w:sz w:val="18"/>
        <w:szCs w:val="18"/>
        <w:lang w:val="es-ES_tradnl"/>
      </w:rPr>
    </w:pPr>
  </w:p>
  <w:p w:rsidR="004A2666" w:rsidRDefault="004A2666" w:rsidP="00EC3A42">
    <w:pPr>
      <w:ind w:right="-59"/>
      <w:rPr>
        <w:sz w:val="18"/>
        <w:szCs w:val="18"/>
      </w:rPr>
    </w:pPr>
    <w:bookmarkStart w:id="8" w:name="codigogrupoorganizativo"/>
    <w:r>
      <w:rPr>
        <w:bCs/>
        <w:sz w:val="18"/>
        <w:szCs w:val="18"/>
        <w:lang w:val="es-ES_tradnl"/>
      </w:rPr>
      <w:t xml:space="preserve">  </w:t>
    </w:r>
    <w:bookmarkEnd w:id="8"/>
    <w:r>
      <w:rPr>
        <w:bCs/>
        <w:sz w:val="18"/>
        <w:szCs w:val="18"/>
        <w:lang w:val="es-ES_tradnl"/>
      </w:rPr>
      <w:t xml:space="preserve"> - Circular Externa No. </w:t>
    </w:r>
    <w:bookmarkStart w:id="9" w:name="numassigned_1"/>
    <w:r>
      <w:rPr>
        <w:bCs/>
        <w:sz w:val="18"/>
        <w:szCs w:val="18"/>
        <w:lang w:val="es-ES_tradnl"/>
      </w:rPr>
      <w:t xml:space="preserve">  </w:t>
    </w:r>
    <w:bookmarkEnd w:id="9"/>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BD6464">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BD6464">
      <w:rPr>
        <w:rStyle w:val="Nmerodepgina"/>
        <w:rFonts w:cs="Arial"/>
        <w:iCs/>
        <w:noProof/>
        <w:sz w:val="18"/>
        <w:szCs w:val="18"/>
      </w:rPr>
      <w:t>37</w:t>
    </w:r>
    <w:r>
      <w:rPr>
        <w:rStyle w:val="Nmerodepgina"/>
        <w:rFonts w:cs="Arial"/>
        <w:iCs/>
        <w:sz w:val="18"/>
        <w:szCs w:val="18"/>
      </w:rPr>
      <w:fldChar w:fldCharType="end"/>
    </w:r>
  </w:p>
  <w:p w:rsidR="004A2666" w:rsidRDefault="004A2666" w:rsidP="007B0A34">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374A44"/>
    <w:multiLevelType w:val="hybridMultilevel"/>
    <w:tmpl w:val="C07AACC6"/>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C8715B"/>
    <w:multiLevelType w:val="multilevel"/>
    <w:tmpl w:val="1832A0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4482529"/>
    <w:multiLevelType w:val="multilevel"/>
    <w:tmpl w:val="D7322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EE13FF"/>
    <w:multiLevelType w:val="multilevel"/>
    <w:tmpl w:val="A21EC7CA"/>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3C0890"/>
    <w:multiLevelType w:val="hybridMultilevel"/>
    <w:tmpl w:val="C90EDB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855A63"/>
    <w:multiLevelType w:val="hybridMultilevel"/>
    <w:tmpl w:val="8FE83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E602FD"/>
    <w:multiLevelType w:val="multilevel"/>
    <w:tmpl w:val="8A3479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500"/>
        </w:tabs>
        <w:ind w:left="1500" w:hanging="720"/>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040"/>
        </w:tabs>
        <w:ind w:left="8040" w:hanging="1800"/>
      </w:pPr>
      <w:rPr>
        <w:rFonts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1093F"/>
    <w:rsid w:val="000315A7"/>
    <w:rsid w:val="00070BC6"/>
    <w:rsid w:val="00090BFD"/>
    <w:rsid w:val="0009535C"/>
    <w:rsid w:val="000977CF"/>
    <w:rsid w:val="000A18F7"/>
    <w:rsid w:val="000C0C1F"/>
    <w:rsid w:val="000C49E3"/>
    <w:rsid w:val="000D02DD"/>
    <w:rsid w:val="000E2344"/>
    <w:rsid w:val="000E4ECE"/>
    <w:rsid w:val="000F39FB"/>
    <w:rsid w:val="000F7FD7"/>
    <w:rsid w:val="001160FF"/>
    <w:rsid w:val="0016084B"/>
    <w:rsid w:val="001B2992"/>
    <w:rsid w:val="001B6D00"/>
    <w:rsid w:val="001C65B7"/>
    <w:rsid w:val="001D2B49"/>
    <w:rsid w:val="001D38DD"/>
    <w:rsid w:val="001F17EE"/>
    <w:rsid w:val="00203587"/>
    <w:rsid w:val="00231877"/>
    <w:rsid w:val="0026227A"/>
    <w:rsid w:val="0026518F"/>
    <w:rsid w:val="0028184C"/>
    <w:rsid w:val="00285323"/>
    <w:rsid w:val="002A1BA7"/>
    <w:rsid w:val="002B1564"/>
    <w:rsid w:val="00310887"/>
    <w:rsid w:val="00325A55"/>
    <w:rsid w:val="00356E72"/>
    <w:rsid w:val="00366DC3"/>
    <w:rsid w:val="003822E5"/>
    <w:rsid w:val="00385557"/>
    <w:rsid w:val="00390900"/>
    <w:rsid w:val="00394E3D"/>
    <w:rsid w:val="00397371"/>
    <w:rsid w:val="003D61CC"/>
    <w:rsid w:val="003E3473"/>
    <w:rsid w:val="003E6DAB"/>
    <w:rsid w:val="00407BDD"/>
    <w:rsid w:val="00420671"/>
    <w:rsid w:val="00427669"/>
    <w:rsid w:val="00461C9B"/>
    <w:rsid w:val="004815F6"/>
    <w:rsid w:val="004A2666"/>
    <w:rsid w:val="004C6083"/>
    <w:rsid w:val="004D23D7"/>
    <w:rsid w:val="004F507D"/>
    <w:rsid w:val="00507BF0"/>
    <w:rsid w:val="00522339"/>
    <w:rsid w:val="00546DC4"/>
    <w:rsid w:val="005570C8"/>
    <w:rsid w:val="005865AB"/>
    <w:rsid w:val="005E5D43"/>
    <w:rsid w:val="00610F41"/>
    <w:rsid w:val="006164C0"/>
    <w:rsid w:val="0065307B"/>
    <w:rsid w:val="00666CFD"/>
    <w:rsid w:val="006743E7"/>
    <w:rsid w:val="00696F6D"/>
    <w:rsid w:val="006A4EE0"/>
    <w:rsid w:val="006B2104"/>
    <w:rsid w:val="006B30CA"/>
    <w:rsid w:val="00735C26"/>
    <w:rsid w:val="007428BE"/>
    <w:rsid w:val="00750BF0"/>
    <w:rsid w:val="00751DB8"/>
    <w:rsid w:val="007611E6"/>
    <w:rsid w:val="00767DE3"/>
    <w:rsid w:val="00773ACA"/>
    <w:rsid w:val="007922E4"/>
    <w:rsid w:val="007B0A34"/>
    <w:rsid w:val="007C178A"/>
    <w:rsid w:val="007E396F"/>
    <w:rsid w:val="007F6590"/>
    <w:rsid w:val="007F6F80"/>
    <w:rsid w:val="008563F9"/>
    <w:rsid w:val="00857C4C"/>
    <w:rsid w:val="008731A8"/>
    <w:rsid w:val="00882078"/>
    <w:rsid w:val="00897A68"/>
    <w:rsid w:val="008B19DB"/>
    <w:rsid w:val="00921409"/>
    <w:rsid w:val="00935A94"/>
    <w:rsid w:val="0098441A"/>
    <w:rsid w:val="009866B9"/>
    <w:rsid w:val="009955C0"/>
    <w:rsid w:val="009B0101"/>
    <w:rsid w:val="00A04A27"/>
    <w:rsid w:val="00A07251"/>
    <w:rsid w:val="00A23D60"/>
    <w:rsid w:val="00A2658D"/>
    <w:rsid w:val="00A41F41"/>
    <w:rsid w:val="00AA58E7"/>
    <w:rsid w:val="00AB7D4E"/>
    <w:rsid w:val="00AC2472"/>
    <w:rsid w:val="00AD40A6"/>
    <w:rsid w:val="00AF61CC"/>
    <w:rsid w:val="00B403FA"/>
    <w:rsid w:val="00B62C65"/>
    <w:rsid w:val="00B730EC"/>
    <w:rsid w:val="00B7382B"/>
    <w:rsid w:val="00BB6319"/>
    <w:rsid w:val="00BD17A4"/>
    <w:rsid w:val="00BD3F79"/>
    <w:rsid w:val="00BD6464"/>
    <w:rsid w:val="00BF4A5A"/>
    <w:rsid w:val="00C32E1A"/>
    <w:rsid w:val="00C64ECE"/>
    <w:rsid w:val="00CA55A0"/>
    <w:rsid w:val="00D327F0"/>
    <w:rsid w:val="00D5121B"/>
    <w:rsid w:val="00D81DCD"/>
    <w:rsid w:val="00DF7637"/>
    <w:rsid w:val="00E7790F"/>
    <w:rsid w:val="00E85AA5"/>
    <w:rsid w:val="00EA4014"/>
    <w:rsid w:val="00EB7284"/>
    <w:rsid w:val="00EC2328"/>
    <w:rsid w:val="00EC3A42"/>
    <w:rsid w:val="00EE0AC0"/>
    <w:rsid w:val="00F14086"/>
    <w:rsid w:val="00F152BB"/>
    <w:rsid w:val="00F239BF"/>
    <w:rsid w:val="00F3485A"/>
    <w:rsid w:val="00F46734"/>
    <w:rsid w:val="00FA17E0"/>
    <w:rsid w:val="00FA2E8D"/>
    <w:rsid w:val="00FB2F7B"/>
    <w:rsid w:val="00FB5B24"/>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7FF56"/>
  <w15:docId w15:val="{FF49073F-9220-4B3D-8B4F-8D26AF62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uiPriority w:val="99"/>
    <w:rsid w:val="00696F6D"/>
    <w:pPr>
      <w:tabs>
        <w:tab w:val="center" w:pos="4419"/>
        <w:tab w:val="right" w:pos="8838"/>
      </w:tabs>
    </w:pPr>
  </w:style>
  <w:style w:type="character" w:customStyle="1" w:styleId="PiedepginaCar">
    <w:name w:val="Pie de página Car"/>
    <w:basedOn w:val="Fuentedeprrafopredeter"/>
    <w:link w:val="Piedepgina"/>
    <w:uiPriority w:val="99"/>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paragraph" w:styleId="Subttulo">
    <w:name w:val="Subtitle"/>
    <w:basedOn w:val="Normal"/>
    <w:next w:val="Textoindependiente"/>
    <w:link w:val="SubttuloCar"/>
    <w:uiPriority w:val="99"/>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uiPriority w:val="99"/>
    <w:locked/>
    <w:rPr>
      <w:rFonts w:ascii="Cambria" w:hAnsi="Cambria" w:cs="Times New Roman"/>
      <w:i/>
      <w:sz w:val="24"/>
      <w:szCs w:val="24"/>
      <w:lang w:val="es-CO" w:eastAsia="ar-SA" w:bidi="ar-SA"/>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39BF"/>
    <w:pPr>
      <w:ind w:left="720"/>
      <w:contextualSpacing/>
    </w:pPr>
  </w:style>
  <w:style w:type="character" w:styleId="Refdenotaalpie">
    <w:name w:val="footnote reference"/>
    <w:basedOn w:val="Fuentedeprrafopredeter"/>
    <w:uiPriority w:val="99"/>
    <w:semiHidden/>
    <w:unhideWhenUsed/>
    <w:rsid w:val="00D5121B"/>
    <w:rPr>
      <w:vertAlign w:val="superscript"/>
    </w:rPr>
  </w:style>
  <w:style w:type="paragraph" w:customStyle="1" w:styleId="Estilgt">
    <w:name w:val="Estilgt"/>
    <w:basedOn w:val="Normal"/>
    <w:rsid w:val="00AB7D4E"/>
    <w:pPr>
      <w:widowControl w:val="0"/>
      <w:suppressLineNumbers/>
      <w:jc w:val="both"/>
    </w:pPr>
    <w:rPr>
      <w:rFonts w:cs="Times New Roman"/>
      <w:b/>
      <w:i w:val="0"/>
      <w:caps/>
      <w:spacing w:val="20"/>
      <w:sz w:val="16"/>
      <w:szCs w:val="20"/>
      <w:lang w:val="es-ES_tradnl" w:eastAsia="es-ES"/>
    </w:rPr>
  </w:style>
  <w:style w:type="paragraph" w:styleId="Textoindependiente3">
    <w:name w:val="Body Text 3"/>
    <w:basedOn w:val="Normal"/>
    <w:link w:val="Textoindependiente3Car"/>
    <w:uiPriority w:val="99"/>
    <w:semiHidden/>
    <w:unhideWhenUsed/>
    <w:rsid w:val="00F152B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152BB"/>
    <w:rPr>
      <w:rFonts w:ascii="Arial" w:hAnsi="Arial" w:cs="Arial"/>
      <w:i/>
      <w:sz w:val="16"/>
      <w:szCs w:val="16"/>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8575">
      <w:bodyDiv w:val="1"/>
      <w:marLeft w:val="0"/>
      <w:marRight w:val="0"/>
      <w:marTop w:val="0"/>
      <w:marBottom w:val="0"/>
      <w:divBdr>
        <w:top w:val="none" w:sz="0" w:space="0" w:color="auto"/>
        <w:left w:val="none" w:sz="0" w:space="0" w:color="auto"/>
        <w:bottom w:val="none" w:sz="0" w:space="0" w:color="auto"/>
        <w:right w:val="none" w:sz="0" w:space="0" w:color="auto"/>
      </w:divBdr>
    </w:div>
    <w:div w:id="275141750">
      <w:bodyDiv w:val="1"/>
      <w:marLeft w:val="0"/>
      <w:marRight w:val="0"/>
      <w:marTop w:val="0"/>
      <w:marBottom w:val="0"/>
      <w:divBdr>
        <w:top w:val="none" w:sz="0" w:space="0" w:color="auto"/>
        <w:left w:val="none" w:sz="0" w:space="0" w:color="auto"/>
        <w:bottom w:val="none" w:sz="0" w:space="0" w:color="auto"/>
        <w:right w:val="none" w:sz="0" w:space="0" w:color="auto"/>
      </w:divBdr>
    </w:div>
    <w:div w:id="480315171">
      <w:bodyDiv w:val="1"/>
      <w:marLeft w:val="0"/>
      <w:marRight w:val="0"/>
      <w:marTop w:val="0"/>
      <w:marBottom w:val="0"/>
      <w:divBdr>
        <w:top w:val="none" w:sz="0" w:space="0" w:color="auto"/>
        <w:left w:val="none" w:sz="0" w:space="0" w:color="auto"/>
        <w:bottom w:val="none" w:sz="0" w:space="0" w:color="auto"/>
        <w:right w:val="none" w:sz="0" w:space="0" w:color="auto"/>
      </w:divBdr>
    </w:div>
    <w:div w:id="702218663">
      <w:bodyDiv w:val="1"/>
      <w:marLeft w:val="0"/>
      <w:marRight w:val="0"/>
      <w:marTop w:val="0"/>
      <w:marBottom w:val="0"/>
      <w:divBdr>
        <w:top w:val="none" w:sz="0" w:space="0" w:color="auto"/>
        <w:left w:val="none" w:sz="0" w:space="0" w:color="auto"/>
        <w:bottom w:val="none" w:sz="0" w:space="0" w:color="auto"/>
        <w:right w:val="none" w:sz="0" w:space="0" w:color="auto"/>
      </w:divBdr>
    </w:div>
    <w:div w:id="1551577747">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37</Pages>
  <Words>7832</Words>
  <Characters>43082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subject/>
  <dc:creator>SES</dc:creator>
  <cp:keywords/>
  <dc:description/>
  <cp:lastModifiedBy>Luis Jaime Jimenez Morantes</cp:lastModifiedBy>
  <cp:revision>7</cp:revision>
  <cp:lastPrinted>2007-11-17T22:44:00Z</cp:lastPrinted>
  <dcterms:created xsi:type="dcterms:W3CDTF">2018-05-07T21:15:00Z</dcterms:created>
  <dcterms:modified xsi:type="dcterms:W3CDTF">2018-05-10T20:23:00Z</dcterms:modified>
</cp:coreProperties>
</file>