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F0587" w:rsidRDefault="00BE520E" w:rsidP="00BE520E">
      <w:pPr>
        <w:jc w:val="both"/>
        <w:rPr>
          <w:bCs/>
          <w:i w:val="0"/>
          <w:sz w:val="22"/>
          <w:szCs w:val="22"/>
          <w:lang w:val="es-MX"/>
        </w:rPr>
      </w:pPr>
      <w:r>
        <w:rPr>
          <w:bCs/>
          <w:i w:val="0"/>
          <w:sz w:val="22"/>
          <w:szCs w:val="22"/>
          <w:lang w:val="es-MX"/>
        </w:rPr>
        <w:t xml:space="preserve">Con la expedición de </w:t>
      </w:r>
      <w:r w:rsidRPr="00BE520E">
        <w:rPr>
          <w:bCs/>
          <w:i w:val="0"/>
          <w:sz w:val="22"/>
          <w:szCs w:val="22"/>
          <w:lang w:val="es-MX"/>
        </w:rPr>
        <w:t>la Ley 1314 de 2009, se regulan los principios y las normas de contabilidad e información financiera y de aseguramiento de la información, aceptadas en Colombia, se señalan las autoridades competentes, el procedimiento para su expedición y se determinan las entidades responsables de vigilar su cumplimiento.</w:t>
      </w:r>
    </w:p>
    <w:p w:rsidR="00BE520E" w:rsidRDefault="00BE520E" w:rsidP="002A7675">
      <w:pPr>
        <w:jc w:val="both"/>
        <w:rPr>
          <w:bCs/>
          <w:i w:val="0"/>
          <w:sz w:val="22"/>
          <w:szCs w:val="22"/>
          <w:lang w:val="es-MX"/>
        </w:rPr>
      </w:pPr>
    </w:p>
    <w:p w:rsidR="002A7675" w:rsidRDefault="00221089" w:rsidP="002A7675">
      <w:pPr>
        <w:jc w:val="both"/>
        <w:rPr>
          <w:bCs/>
          <w:i w:val="0"/>
          <w:sz w:val="22"/>
          <w:szCs w:val="22"/>
          <w:lang w:val="es-MX"/>
        </w:rPr>
      </w:pPr>
      <w:r>
        <w:rPr>
          <w:bCs/>
          <w:i w:val="0"/>
          <w:sz w:val="22"/>
          <w:szCs w:val="22"/>
          <w:lang w:val="es-MX"/>
        </w:rPr>
        <w:t>En desarrollo de lo expuesto por la Ley,</w:t>
      </w:r>
      <w:r w:rsidR="002A7675" w:rsidRPr="002A7675">
        <w:rPr>
          <w:bCs/>
          <w:i w:val="0"/>
          <w:sz w:val="22"/>
          <w:szCs w:val="22"/>
          <w:lang w:val="es-MX"/>
        </w:rPr>
        <w:t xml:space="preserve"> el Consejo Técnico de la Contaduría Pública, </w:t>
      </w:r>
      <w:r w:rsidRPr="00221089">
        <w:rPr>
          <w:bCs/>
          <w:i w:val="0"/>
          <w:sz w:val="22"/>
          <w:szCs w:val="22"/>
          <w:lang w:val="es-MX"/>
        </w:rPr>
        <w:t>como organismo de normalización técnica de normas contables, de información financiera y de aseguramiento de la información</w:t>
      </w:r>
      <w:r>
        <w:rPr>
          <w:bCs/>
          <w:i w:val="0"/>
          <w:sz w:val="22"/>
          <w:szCs w:val="22"/>
          <w:lang w:val="es-MX"/>
        </w:rPr>
        <w:t>, propuso a las autoridades de regulación e</w:t>
      </w:r>
      <w:r w:rsidR="002A7675" w:rsidRPr="002A7675">
        <w:rPr>
          <w:bCs/>
          <w:i w:val="0"/>
          <w:sz w:val="22"/>
          <w:szCs w:val="22"/>
          <w:lang w:val="es-MX"/>
        </w:rPr>
        <w:t>n el documento de Direccionamiento Estratégico que las normas de contabilidad e información</w:t>
      </w:r>
      <w:r w:rsidR="002A7675">
        <w:rPr>
          <w:bCs/>
          <w:i w:val="0"/>
          <w:sz w:val="22"/>
          <w:szCs w:val="22"/>
          <w:lang w:val="es-MX"/>
        </w:rPr>
        <w:t xml:space="preserve"> </w:t>
      </w:r>
      <w:r w:rsidR="002A7675" w:rsidRPr="002A7675">
        <w:rPr>
          <w:bCs/>
          <w:i w:val="0"/>
          <w:sz w:val="22"/>
          <w:szCs w:val="22"/>
          <w:lang w:val="es-MX"/>
        </w:rPr>
        <w:t xml:space="preserve">financiera y de Aseguramiento de la Información deben aplicarse de manera diferencial a tres grupos de preparadores de estados financieros: Grupo </w:t>
      </w:r>
      <w:r w:rsidR="002A7675">
        <w:rPr>
          <w:bCs/>
          <w:i w:val="0"/>
          <w:sz w:val="22"/>
          <w:szCs w:val="22"/>
          <w:lang w:val="es-MX"/>
        </w:rPr>
        <w:t>1</w:t>
      </w:r>
      <w:r>
        <w:rPr>
          <w:bCs/>
          <w:i w:val="0"/>
          <w:sz w:val="22"/>
          <w:szCs w:val="22"/>
          <w:lang w:val="es-MX"/>
        </w:rPr>
        <w:t>, Grupo 2 y Grupo 3, presentando en cada caso la propuesta normativa relativa a cada grupo de preparadores de información financiera, mediante la expedición de decretos reglamentarios de la Ley 1314 de 2009.</w:t>
      </w:r>
    </w:p>
    <w:p w:rsidR="002A7675" w:rsidRPr="002A7675" w:rsidRDefault="002A7675" w:rsidP="002A7675">
      <w:pPr>
        <w:jc w:val="both"/>
        <w:rPr>
          <w:bCs/>
          <w:i w:val="0"/>
          <w:sz w:val="22"/>
          <w:szCs w:val="22"/>
          <w:lang w:val="es-MX"/>
        </w:rPr>
      </w:pPr>
    </w:p>
    <w:p w:rsidR="00BE520E" w:rsidRDefault="00FC1777" w:rsidP="004E7918">
      <w:pPr>
        <w:jc w:val="both"/>
        <w:rPr>
          <w:bCs/>
          <w:i w:val="0"/>
          <w:sz w:val="22"/>
          <w:szCs w:val="22"/>
          <w:lang w:val="es-MX"/>
        </w:rPr>
      </w:pPr>
      <w:r>
        <w:rPr>
          <w:bCs/>
          <w:i w:val="0"/>
          <w:sz w:val="22"/>
          <w:szCs w:val="22"/>
          <w:lang w:val="es-MX"/>
        </w:rPr>
        <w:t>En virtud de la Ley</w:t>
      </w:r>
      <w:r w:rsidR="00221089">
        <w:rPr>
          <w:bCs/>
          <w:i w:val="0"/>
          <w:sz w:val="22"/>
          <w:szCs w:val="22"/>
          <w:lang w:val="es-MX"/>
        </w:rPr>
        <w:t xml:space="preserve"> se expidi</w:t>
      </w:r>
      <w:r>
        <w:rPr>
          <w:bCs/>
          <w:i w:val="0"/>
          <w:sz w:val="22"/>
          <w:szCs w:val="22"/>
          <w:lang w:val="es-MX"/>
        </w:rPr>
        <w:t>eron</w:t>
      </w:r>
      <w:r w:rsidR="00221089">
        <w:rPr>
          <w:bCs/>
          <w:i w:val="0"/>
          <w:sz w:val="22"/>
          <w:szCs w:val="22"/>
          <w:lang w:val="es-MX"/>
        </w:rPr>
        <w:t xml:space="preserve"> </w:t>
      </w:r>
      <w:r w:rsidR="004E7918">
        <w:rPr>
          <w:bCs/>
          <w:i w:val="0"/>
          <w:sz w:val="22"/>
          <w:szCs w:val="22"/>
          <w:lang w:val="es-MX"/>
        </w:rPr>
        <w:t>e</w:t>
      </w:r>
      <w:r w:rsidR="00221089">
        <w:rPr>
          <w:bCs/>
          <w:i w:val="0"/>
          <w:sz w:val="22"/>
          <w:szCs w:val="22"/>
          <w:lang w:val="es-MX"/>
        </w:rPr>
        <w:t>l Decreto 2706 de 2012 y su modif</w:t>
      </w:r>
      <w:r w:rsidR="004E7918">
        <w:rPr>
          <w:bCs/>
          <w:i w:val="0"/>
          <w:sz w:val="22"/>
          <w:szCs w:val="22"/>
          <w:lang w:val="es-MX"/>
        </w:rPr>
        <w:t>icatorio, sobre el marco técnico de información financiera para las microempresas, el Decreto 2784 de 2012 y sus modificatorios sobre el marco técnico normativo para los preparadores de información financiera que conforman el Grupo 1, el Decreto 3022 de 2013 sobre el marco técnico normativo para los preparadores de información fina</w:t>
      </w:r>
      <w:r w:rsidR="004040A5">
        <w:rPr>
          <w:bCs/>
          <w:i w:val="0"/>
          <w:sz w:val="22"/>
          <w:szCs w:val="22"/>
          <w:lang w:val="es-MX"/>
        </w:rPr>
        <w:t xml:space="preserve">nciera que conforman el Grupo 2. </w:t>
      </w:r>
      <w:r w:rsidR="004040A5" w:rsidRPr="005C3D7D">
        <w:rPr>
          <w:bCs/>
          <w:i w:val="0"/>
          <w:sz w:val="22"/>
          <w:szCs w:val="22"/>
          <w:lang w:val="es-MX"/>
        </w:rPr>
        <w:t>Estas</w:t>
      </w:r>
      <w:r w:rsidR="004040A5">
        <w:rPr>
          <w:bCs/>
          <w:i w:val="0"/>
          <w:sz w:val="22"/>
          <w:szCs w:val="22"/>
          <w:lang w:val="es-MX"/>
        </w:rPr>
        <w:t xml:space="preserve"> normas</w:t>
      </w:r>
      <w:r w:rsidR="004E7918">
        <w:rPr>
          <w:bCs/>
          <w:i w:val="0"/>
          <w:sz w:val="22"/>
          <w:szCs w:val="22"/>
          <w:lang w:val="es-MX"/>
        </w:rPr>
        <w:t xml:space="preserve"> fueron compiladas </w:t>
      </w:r>
      <w:r w:rsidR="008D7F6A">
        <w:rPr>
          <w:bCs/>
          <w:i w:val="0"/>
          <w:sz w:val="22"/>
          <w:szCs w:val="22"/>
          <w:lang w:val="es-MX"/>
        </w:rPr>
        <w:t xml:space="preserve">en el Decreto 2420 de 2015, Único </w:t>
      </w:r>
      <w:r w:rsidR="004040A5">
        <w:rPr>
          <w:bCs/>
          <w:i w:val="0"/>
          <w:sz w:val="22"/>
          <w:szCs w:val="22"/>
          <w:lang w:val="es-MX"/>
        </w:rPr>
        <w:t>Reglamentario de</w:t>
      </w:r>
      <w:r w:rsidR="008D7F6A">
        <w:rPr>
          <w:bCs/>
          <w:i w:val="0"/>
          <w:sz w:val="22"/>
          <w:szCs w:val="22"/>
          <w:lang w:val="es-MX"/>
        </w:rPr>
        <w:t xml:space="preserve"> las Normas de Contabilidad, de Información Financiera y de Aseguramiento de la Información, modificado por el Decreto 2496 de 2015.</w:t>
      </w:r>
    </w:p>
    <w:p w:rsidR="003867F5" w:rsidRDefault="003867F5" w:rsidP="003867F5">
      <w:pPr>
        <w:pStyle w:val="Default"/>
        <w:jc w:val="both"/>
        <w:rPr>
          <w:bCs/>
          <w:color w:val="auto"/>
          <w:sz w:val="22"/>
          <w:szCs w:val="22"/>
          <w:lang w:val="es-MX" w:eastAsia="ar-SA"/>
        </w:rPr>
      </w:pPr>
    </w:p>
    <w:p w:rsidR="003867F5" w:rsidRDefault="003867F5" w:rsidP="003867F5">
      <w:pPr>
        <w:pStyle w:val="Default"/>
        <w:jc w:val="both"/>
        <w:rPr>
          <w:bCs/>
          <w:color w:val="auto"/>
          <w:sz w:val="22"/>
          <w:szCs w:val="22"/>
          <w:lang w:val="es-MX" w:eastAsia="ar-SA"/>
        </w:rPr>
      </w:pPr>
      <w:r w:rsidRPr="005F7295">
        <w:rPr>
          <w:bCs/>
          <w:color w:val="auto"/>
          <w:sz w:val="22"/>
          <w:szCs w:val="22"/>
          <w:lang w:val="es-MX" w:eastAsia="ar-SA"/>
        </w:rPr>
        <w:lastRenderedPageBreak/>
        <w:t>D</w:t>
      </w:r>
      <w:r>
        <w:rPr>
          <w:bCs/>
          <w:color w:val="auto"/>
          <w:sz w:val="22"/>
          <w:szCs w:val="22"/>
          <w:lang w:val="es-MX" w:eastAsia="ar-SA"/>
        </w:rPr>
        <w:t xml:space="preserve">entro de este </w:t>
      </w:r>
      <w:r w:rsidRPr="005F7295">
        <w:rPr>
          <w:bCs/>
          <w:color w:val="auto"/>
          <w:sz w:val="22"/>
          <w:szCs w:val="22"/>
          <w:lang w:val="es-MX" w:eastAsia="ar-SA"/>
        </w:rPr>
        <w:t>marco normativo</w:t>
      </w:r>
      <w:r>
        <w:rPr>
          <w:bCs/>
          <w:color w:val="auto"/>
          <w:sz w:val="22"/>
          <w:szCs w:val="22"/>
          <w:lang w:val="es-MX" w:eastAsia="ar-SA"/>
        </w:rPr>
        <w:t xml:space="preserve"> se </w:t>
      </w:r>
      <w:r w:rsidRPr="005F7295">
        <w:rPr>
          <w:bCs/>
          <w:color w:val="auto"/>
          <w:sz w:val="22"/>
          <w:szCs w:val="22"/>
          <w:lang w:val="es-MX" w:eastAsia="ar-SA"/>
        </w:rPr>
        <w:t>señaló que en aplicación de la NIIF 1 y la NIIF para Pymes</w:t>
      </w:r>
      <w:r>
        <w:rPr>
          <w:bCs/>
          <w:color w:val="auto"/>
          <w:sz w:val="22"/>
          <w:szCs w:val="22"/>
          <w:lang w:val="es-MX" w:eastAsia="ar-SA"/>
        </w:rPr>
        <w:t>,</w:t>
      </w:r>
      <w:r w:rsidRPr="005F7295">
        <w:rPr>
          <w:bCs/>
          <w:color w:val="auto"/>
          <w:sz w:val="22"/>
          <w:szCs w:val="22"/>
          <w:lang w:val="es-MX" w:eastAsia="ar-SA"/>
        </w:rPr>
        <w:t xml:space="preserve"> los ajustes resultantes de la adopción por primera vez de las NIIF</w:t>
      </w:r>
      <w:r>
        <w:rPr>
          <w:bCs/>
          <w:color w:val="auto"/>
          <w:sz w:val="22"/>
          <w:szCs w:val="22"/>
          <w:lang w:val="es-MX" w:eastAsia="ar-SA"/>
        </w:rPr>
        <w:t>,</w:t>
      </w:r>
      <w:r w:rsidRPr="005F7295">
        <w:rPr>
          <w:bCs/>
          <w:color w:val="auto"/>
          <w:sz w:val="22"/>
          <w:szCs w:val="22"/>
          <w:lang w:val="es-MX" w:eastAsia="ar-SA"/>
        </w:rPr>
        <w:t xml:space="preserve"> registrados en el estado de situación financiera de apertura se reconocer</w:t>
      </w:r>
      <w:r>
        <w:rPr>
          <w:bCs/>
          <w:color w:val="auto"/>
          <w:sz w:val="22"/>
          <w:szCs w:val="22"/>
          <w:lang w:val="es-MX" w:eastAsia="ar-SA"/>
        </w:rPr>
        <w:t>ían</w:t>
      </w:r>
      <w:r w:rsidRPr="005F7295">
        <w:rPr>
          <w:bCs/>
          <w:color w:val="auto"/>
          <w:sz w:val="22"/>
          <w:szCs w:val="22"/>
          <w:lang w:val="es-MX" w:eastAsia="ar-SA"/>
        </w:rPr>
        <w:t xml:space="preserve"> directamente en las ganancias acumuladas</w:t>
      </w:r>
      <w:r>
        <w:rPr>
          <w:bCs/>
          <w:color w:val="auto"/>
          <w:sz w:val="22"/>
          <w:szCs w:val="22"/>
          <w:lang w:val="es-MX" w:eastAsia="ar-SA"/>
        </w:rPr>
        <w:t>,</w:t>
      </w:r>
      <w:r w:rsidRPr="005F7295">
        <w:rPr>
          <w:bCs/>
          <w:color w:val="auto"/>
          <w:sz w:val="22"/>
          <w:szCs w:val="22"/>
          <w:lang w:val="es-MX" w:eastAsia="ar-SA"/>
        </w:rPr>
        <w:t xml:space="preserve"> o, si fuera apropiado, en otra categoría dentro del patrimonio</w:t>
      </w:r>
      <w:r>
        <w:rPr>
          <w:bCs/>
          <w:color w:val="auto"/>
          <w:sz w:val="22"/>
          <w:szCs w:val="22"/>
          <w:lang w:val="es-MX" w:eastAsia="ar-SA"/>
        </w:rPr>
        <w:t>.</w:t>
      </w:r>
    </w:p>
    <w:p w:rsidR="003867F5" w:rsidRDefault="003867F5" w:rsidP="003867F5">
      <w:pPr>
        <w:suppressAutoHyphens w:val="0"/>
        <w:autoSpaceDE w:val="0"/>
        <w:autoSpaceDN w:val="0"/>
        <w:adjustRightInd w:val="0"/>
        <w:jc w:val="both"/>
        <w:rPr>
          <w:bCs/>
          <w:i w:val="0"/>
          <w:sz w:val="22"/>
          <w:szCs w:val="22"/>
          <w:lang w:val="es-MX"/>
        </w:rPr>
      </w:pPr>
    </w:p>
    <w:p w:rsidR="003867F5" w:rsidRDefault="00D051CE" w:rsidP="003867F5">
      <w:pPr>
        <w:suppressAutoHyphens w:val="0"/>
        <w:autoSpaceDE w:val="0"/>
        <w:autoSpaceDN w:val="0"/>
        <w:adjustRightInd w:val="0"/>
        <w:jc w:val="both"/>
        <w:rPr>
          <w:bCs/>
          <w:i w:val="0"/>
          <w:sz w:val="22"/>
          <w:szCs w:val="22"/>
          <w:lang w:val="es-MX"/>
        </w:rPr>
      </w:pPr>
      <w:r>
        <w:rPr>
          <w:i w:val="0"/>
          <w:sz w:val="22"/>
          <w:szCs w:val="22"/>
          <w:lang w:eastAsia="es-CO"/>
        </w:rPr>
        <w:t>En desarrollo de ello</w:t>
      </w:r>
      <w:r w:rsidR="003867F5">
        <w:rPr>
          <w:i w:val="0"/>
          <w:sz w:val="22"/>
          <w:szCs w:val="22"/>
          <w:lang w:eastAsia="es-CO"/>
        </w:rPr>
        <w:t xml:space="preserve"> y con el fin de facilitar la comprensión y aplicación de la estructura contable en el proceso de convergencia hacia las normas de información financiera y de aseguramiento de la información, esta Superintendencia en ejercicio de las facultades previstas en los numerales 3 y 22 del artículo 36 de la Ley 454 de 1998 y numeral 2 del artículo 10 de la Ley 1314 de 2009</w:t>
      </w:r>
      <w:r w:rsidR="000B64D1">
        <w:rPr>
          <w:i w:val="0"/>
          <w:sz w:val="22"/>
          <w:szCs w:val="22"/>
          <w:lang w:eastAsia="es-CO"/>
        </w:rPr>
        <w:t>,</w:t>
      </w:r>
      <w:r w:rsidR="003867F5">
        <w:rPr>
          <w:bCs/>
          <w:i w:val="0"/>
          <w:sz w:val="22"/>
          <w:szCs w:val="22"/>
          <w:lang w:val="es-MX"/>
        </w:rPr>
        <w:t xml:space="preserve"> </w:t>
      </w:r>
      <w:r w:rsidR="003867F5">
        <w:rPr>
          <w:i w:val="0"/>
          <w:sz w:val="22"/>
          <w:szCs w:val="22"/>
          <w:lang w:eastAsia="es-CO"/>
        </w:rPr>
        <w:t xml:space="preserve">creó </w:t>
      </w:r>
      <w:r w:rsidR="003867F5">
        <w:rPr>
          <w:bCs/>
          <w:i w:val="0"/>
          <w:sz w:val="22"/>
          <w:szCs w:val="22"/>
          <w:lang w:val="es-MX"/>
        </w:rPr>
        <w:t>el Catálogo único de Información Financiera con Fines de Supervisión, que incluyó la partida denomina</w:t>
      </w:r>
      <w:r w:rsidR="000B64D1">
        <w:rPr>
          <w:bCs/>
          <w:i w:val="0"/>
          <w:sz w:val="22"/>
          <w:szCs w:val="22"/>
          <w:lang w:val="es-MX"/>
        </w:rPr>
        <w:t>da</w:t>
      </w:r>
      <w:r w:rsidR="003867F5">
        <w:rPr>
          <w:bCs/>
          <w:i w:val="0"/>
          <w:sz w:val="22"/>
          <w:szCs w:val="22"/>
          <w:lang w:val="es-MX"/>
        </w:rPr>
        <w:t xml:space="preserve"> </w:t>
      </w:r>
      <w:r w:rsidR="003867F5" w:rsidRPr="00F92854">
        <w:rPr>
          <w:bCs/>
          <w:sz w:val="22"/>
          <w:szCs w:val="22"/>
          <w:lang w:val="es-MX"/>
        </w:rPr>
        <w:t>“Excedentes y/o Pérdidas Acumulados”</w:t>
      </w:r>
      <w:r w:rsidR="003867F5">
        <w:rPr>
          <w:bCs/>
          <w:i w:val="0"/>
          <w:sz w:val="22"/>
          <w:szCs w:val="22"/>
          <w:lang w:val="es-MX"/>
        </w:rPr>
        <w:t xml:space="preserve"> con la codificación 3600, asimilable a la partida ganancias acumuladas de que tratan los marcos t</w:t>
      </w:r>
      <w:r w:rsidR="000B64D1">
        <w:rPr>
          <w:bCs/>
          <w:i w:val="0"/>
          <w:sz w:val="22"/>
          <w:szCs w:val="22"/>
          <w:lang w:val="es-MX"/>
        </w:rPr>
        <w:t xml:space="preserve">écnicos normativos, toda vez que </w:t>
      </w:r>
      <w:r w:rsidR="009E1BA9">
        <w:rPr>
          <w:bCs/>
          <w:i w:val="0"/>
          <w:sz w:val="22"/>
          <w:szCs w:val="22"/>
          <w:lang w:val="es-MX"/>
        </w:rPr>
        <w:t>el término “ganancia” no es utilizado por</w:t>
      </w:r>
      <w:r w:rsidR="000B64D1">
        <w:rPr>
          <w:bCs/>
          <w:i w:val="0"/>
          <w:sz w:val="22"/>
          <w:szCs w:val="22"/>
          <w:lang w:val="es-MX"/>
        </w:rPr>
        <w:t xml:space="preserve"> </w:t>
      </w:r>
      <w:r w:rsidR="00FC1777">
        <w:rPr>
          <w:bCs/>
          <w:i w:val="0"/>
          <w:sz w:val="22"/>
          <w:szCs w:val="22"/>
          <w:lang w:val="es-MX"/>
        </w:rPr>
        <w:t xml:space="preserve">el </w:t>
      </w:r>
      <w:r w:rsidR="000B64D1">
        <w:rPr>
          <w:bCs/>
          <w:i w:val="0"/>
          <w:sz w:val="22"/>
          <w:szCs w:val="22"/>
          <w:lang w:val="es-MX"/>
        </w:rPr>
        <w:t>sector solidario</w:t>
      </w:r>
      <w:r w:rsidR="009E1BA9">
        <w:rPr>
          <w:bCs/>
          <w:i w:val="0"/>
          <w:sz w:val="22"/>
          <w:szCs w:val="22"/>
          <w:lang w:val="es-MX"/>
        </w:rPr>
        <w:t>.</w:t>
      </w:r>
      <w:r w:rsidR="000B64D1">
        <w:rPr>
          <w:bCs/>
          <w:i w:val="0"/>
          <w:sz w:val="22"/>
          <w:szCs w:val="22"/>
          <w:lang w:val="es-MX"/>
        </w:rPr>
        <w:t xml:space="preserve"> </w:t>
      </w:r>
    </w:p>
    <w:p w:rsidR="003867F5" w:rsidRDefault="003867F5" w:rsidP="003867F5">
      <w:pPr>
        <w:suppressAutoHyphens w:val="0"/>
        <w:autoSpaceDE w:val="0"/>
        <w:autoSpaceDN w:val="0"/>
        <w:adjustRightInd w:val="0"/>
        <w:jc w:val="both"/>
        <w:rPr>
          <w:bCs/>
          <w:i w:val="0"/>
          <w:sz w:val="22"/>
          <w:szCs w:val="22"/>
          <w:lang w:val="es-MX"/>
        </w:rPr>
      </w:pPr>
    </w:p>
    <w:p w:rsidR="00BE520E" w:rsidRPr="0089332D" w:rsidRDefault="00A7799E" w:rsidP="0089332D">
      <w:pPr>
        <w:suppressAutoHyphens w:val="0"/>
        <w:autoSpaceDE w:val="0"/>
        <w:autoSpaceDN w:val="0"/>
        <w:adjustRightInd w:val="0"/>
        <w:jc w:val="both"/>
        <w:rPr>
          <w:i w:val="0"/>
          <w:sz w:val="22"/>
          <w:szCs w:val="22"/>
          <w:lang w:eastAsia="es-CO"/>
        </w:rPr>
      </w:pPr>
      <w:r w:rsidRPr="00D051CE">
        <w:rPr>
          <w:i w:val="0"/>
          <w:sz w:val="22"/>
          <w:szCs w:val="22"/>
          <w:lang w:eastAsia="es-CO"/>
        </w:rPr>
        <w:t>Por tal razón</w:t>
      </w:r>
      <w:r w:rsidR="00D051CE" w:rsidRPr="00D051CE">
        <w:rPr>
          <w:i w:val="0"/>
          <w:sz w:val="22"/>
          <w:szCs w:val="22"/>
          <w:lang w:eastAsia="es-CO"/>
        </w:rPr>
        <w:t xml:space="preserve">, </w:t>
      </w:r>
      <w:r w:rsidR="0089332D">
        <w:rPr>
          <w:i w:val="0"/>
          <w:sz w:val="22"/>
          <w:szCs w:val="22"/>
          <w:lang w:eastAsia="es-CO"/>
        </w:rPr>
        <w:t>esta Superintendencia</w:t>
      </w:r>
      <w:r>
        <w:rPr>
          <w:i w:val="0"/>
          <w:sz w:val="22"/>
          <w:szCs w:val="22"/>
          <w:lang w:eastAsia="es-CO"/>
        </w:rPr>
        <w:t xml:space="preserve"> </w:t>
      </w:r>
      <w:r w:rsidRPr="00D051CE">
        <w:rPr>
          <w:i w:val="0"/>
          <w:sz w:val="22"/>
          <w:szCs w:val="22"/>
          <w:lang w:eastAsia="es-CO"/>
        </w:rPr>
        <w:t xml:space="preserve">considera </w:t>
      </w:r>
      <w:r w:rsidR="0089332D">
        <w:rPr>
          <w:i w:val="0"/>
          <w:sz w:val="22"/>
          <w:szCs w:val="22"/>
          <w:lang w:eastAsia="es-CO"/>
        </w:rPr>
        <w:t xml:space="preserve">pertinente pronunciarse sobre el tratamiento que deben darle los </w:t>
      </w:r>
      <w:r w:rsidRPr="00D051CE">
        <w:rPr>
          <w:i w:val="0"/>
          <w:sz w:val="22"/>
          <w:szCs w:val="22"/>
          <w:lang w:eastAsia="es-CO"/>
        </w:rPr>
        <w:t xml:space="preserve">preparadores de información financiera </w:t>
      </w:r>
      <w:r w:rsidR="0089332D">
        <w:rPr>
          <w:i w:val="0"/>
          <w:sz w:val="22"/>
          <w:szCs w:val="22"/>
          <w:lang w:eastAsia="es-CO"/>
        </w:rPr>
        <w:t xml:space="preserve">a </w:t>
      </w:r>
      <w:r w:rsidR="00D051CE">
        <w:rPr>
          <w:i w:val="0"/>
          <w:sz w:val="22"/>
          <w:szCs w:val="22"/>
          <w:lang w:eastAsia="es-CO"/>
        </w:rPr>
        <w:t>l</w:t>
      </w:r>
      <w:r w:rsidR="0089332D">
        <w:rPr>
          <w:i w:val="0"/>
          <w:sz w:val="22"/>
          <w:szCs w:val="22"/>
          <w:lang w:eastAsia="es-CO"/>
        </w:rPr>
        <w:t>a partida</w:t>
      </w:r>
      <w:r w:rsidR="00D051CE">
        <w:rPr>
          <w:i w:val="0"/>
          <w:sz w:val="22"/>
          <w:szCs w:val="22"/>
          <w:lang w:eastAsia="es-CO"/>
        </w:rPr>
        <w:t xml:space="preserve"> </w:t>
      </w:r>
      <w:r w:rsidR="00D051CE" w:rsidRPr="00D051CE">
        <w:rPr>
          <w:sz w:val="22"/>
          <w:szCs w:val="22"/>
          <w:lang w:eastAsia="es-CO"/>
        </w:rPr>
        <w:t>“Excedentes y/o Pérdidas Acumulados”</w:t>
      </w:r>
      <w:r w:rsidR="009E1BA9">
        <w:rPr>
          <w:i w:val="0"/>
          <w:sz w:val="22"/>
          <w:szCs w:val="22"/>
          <w:lang w:eastAsia="es-CO"/>
        </w:rPr>
        <w:t>,</w:t>
      </w:r>
      <w:r w:rsidR="0089332D">
        <w:rPr>
          <w:i w:val="0"/>
          <w:sz w:val="22"/>
          <w:szCs w:val="22"/>
          <w:lang w:eastAsia="es-CO"/>
        </w:rPr>
        <w:t xml:space="preserve"> </w:t>
      </w:r>
      <w:r w:rsidR="00D051CE" w:rsidRPr="00D051CE">
        <w:rPr>
          <w:i w:val="0"/>
          <w:sz w:val="22"/>
          <w:szCs w:val="22"/>
          <w:lang w:eastAsia="es-CO"/>
        </w:rPr>
        <w:t xml:space="preserve">codificación 3600 </w:t>
      </w:r>
      <w:r w:rsidR="00D051CE">
        <w:rPr>
          <w:i w:val="0"/>
          <w:sz w:val="22"/>
          <w:szCs w:val="22"/>
          <w:lang w:eastAsia="es-CO"/>
        </w:rPr>
        <w:t>en</w:t>
      </w:r>
      <w:r w:rsidR="00D051CE" w:rsidRPr="00D051CE">
        <w:rPr>
          <w:i w:val="0"/>
          <w:sz w:val="22"/>
          <w:szCs w:val="22"/>
          <w:lang w:eastAsia="es-CO"/>
        </w:rPr>
        <w:t xml:space="preserve"> el Catálogo Único de Información Financiera con Fines de Supervisión,</w:t>
      </w:r>
      <w:r w:rsidR="00D051CE">
        <w:rPr>
          <w:i w:val="0"/>
          <w:sz w:val="22"/>
          <w:szCs w:val="22"/>
          <w:lang w:eastAsia="es-CO"/>
        </w:rPr>
        <w:t xml:space="preserve"> </w:t>
      </w:r>
      <w:r w:rsidR="009E1BA9">
        <w:rPr>
          <w:i w:val="0"/>
          <w:sz w:val="22"/>
          <w:szCs w:val="22"/>
          <w:lang w:eastAsia="es-CO"/>
        </w:rPr>
        <w:t>previo a</w:t>
      </w:r>
      <w:r w:rsidR="0089332D">
        <w:rPr>
          <w:i w:val="0"/>
          <w:sz w:val="22"/>
          <w:szCs w:val="22"/>
          <w:lang w:eastAsia="es-CO"/>
        </w:rPr>
        <w:t xml:space="preserve"> la celebración de las asambleas generales</w:t>
      </w:r>
      <w:r w:rsidR="009E1BA9">
        <w:rPr>
          <w:i w:val="0"/>
          <w:sz w:val="22"/>
          <w:szCs w:val="22"/>
          <w:lang w:eastAsia="es-CO"/>
        </w:rPr>
        <w:t xml:space="preserve">, </w:t>
      </w:r>
      <w:r w:rsidR="00FC1777">
        <w:rPr>
          <w:i w:val="0"/>
          <w:sz w:val="22"/>
          <w:szCs w:val="22"/>
          <w:lang w:eastAsia="es-CO"/>
        </w:rPr>
        <w:t xml:space="preserve">con </w:t>
      </w:r>
      <w:r w:rsidR="009E1BA9">
        <w:rPr>
          <w:i w:val="0"/>
          <w:sz w:val="22"/>
          <w:szCs w:val="22"/>
          <w:lang w:eastAsia="es-CO"/>
        </w:rPr>
        <w:t>especial</w:t>
      </w:r>
      <w:r w:rsidR="00FC1777">
        <w:rPr>
          <w:i w:val="0"/>
          <w:sz w:val="22"/>
          <w:szCs w:val="22"/>
          <w:lang w:eastAsia="es-CO"/>
        </w:rPr>
        <w:t xml:space="preserve"> atención</w:t>
      </w:r>
      <w:r w:rsidR="009E1BA9">
        <w:rPr>
          <w:i w:val="0"/>
          <w:sz w:val="22"/>
          <w:szCs w:val="22"/>
          <w:lang w:eastAsia="es-CO"/>
        </w:rPr>
        <w:t xml:space="preserve"> de aquellos preparadores que finalizaron su </w:t>
      </w:r>
      <w:r w:rsidR="00D051CE">
        <w:rPr>
          <w:i w:val="0"/>
          <w:sz w:val="22"/>
          <w:szCs w:val="22"/>
          <w:lang w:eastAsia="es-CO"/>
        </w:rPr>
        <w:t xml:space="preserve">primer </w:t>
      </w:r>
      <w:r w:rsidR="009E1BA9">
        <w:rPr>
          <w:i w:val="0"/>
          <w:sz w:val="22"/>
          <w:szCs w:val="22"/>
          <w:lang w:eastAsia="es-CO"/>
        </w:rPr>
        <w:t>periodo de aplicación.</w:t>
      </w:r>
      <w:r w:rsidR="0089332D">
        <w:rPr>
          <w:i w:val="0"/>
          <w:sz w:val="22"/>
          <w:szCs w:val="22"/>
          <w:lang w:eastAsia="es-CO"/>
        </w:rPr>
        <w:t xml:space="preserve"> </w:t>
      </w:r>
    </w:p>
    <w:p w:rsidR="003867F5" w:rsidRDefault="003867F5" w:rsidP="000B7130">
      <w:pPr>
        <w:pStyle w:val="Default"/>
        <w:jc w:val="both"/>
        <w:rPr>
          <w:bCs/>
          <w:color w:val="auto"/>
          <w:sz w:val="22"/>
          <w:szCs w:val="22"/>
          <w:lang w:val="es-MX" w:eastAsia="ar-SA"/>
        </w:rPr>
      </w:pPr>
    </w:p>
    <w:p w:rsidR="00FC1777" w:rsidRDefault="00D051CE" w:rsidP="000B7130">
      <w:pPr>
        <w:pStyle w:val="Default"/>
        <w:jc w:val="both"/>
        <w:rPr>
          <w:bCs/>
          <w:color w:val="auto"/>
          <w:sz w:val="22"/>
          <w:szCs w:val="22"/>
          <w:lang w:val="es-MX" w:eastAsia="ar-SA"/>
        </w:rPr>
      </w:pPr>
      <w:r>
        <w:rPr>
          <w:bCs/>
          <w:color w:val="auto"/>
          <w:sz w:val="22"/>
          <w:szCs w:val="22"/>
          <w:lang w:val="es-MX" w:eastAsia="ar-SA"/>
        </w:rPr>
        <w:t>C</w:t>
      </w:r>
      <w:r w:rsidR="00FC1777">
        <w:rPr>
          <w:bCs/>
          <w:color w:val="auto"/>
          <w:sz w:val="22"/>
          <w:szCs w:val="22"/>
          <w:lang w:val="es-MX" w:eastAsia="ar-SA"/>
        </w:rPr>
        <w:t xml:space="preserve">onsiderando </w:t>
      </w:r>
      <w:r w:rsidR="009E1BA9">
        <w:rPr>
          <w:bCs/>
          <w:color w:val="auto"/>
          <w:sz w:val="22"/>
          <w:szCs w:val="22"/>
          <w:lang w:val="es-MX" w:eastAsia="ar-SA"/>
        </w:rPr>
        <w:t>que los ajustes</w:t>
      </w:r>
      <w:r w:rsidR="005F7295" w:rsidRPr="000B7130">
        <w:rPr>
          <w:bCs/>
          <w:color w:val="auto"/>
          <w:sz w:val="22"/>
          <w:szCs w:val="22"/>
          <w:lang w:val="es-MX" w:eastAsia="ar-SA"/>
        </w:rPr>
        <w:t xml:space="preserve"> </w:t>
      </w:r>
      <w:r w:rsidR="009E1BA9" w:rsidRPr="009E1BA9">
        <w:rPr>
          <w:bCs/>
          <w:color w:val="auto"/>
          <w:sz w:val="22"/>
          <w:szCs w:val="22"/>
          <w:lang w:val="es-MX" w:eastAsia="ar-SA"/>
        </w:rPr>
        <w:t>generados en virtud de la adopción por primera vez de las NIIF</w:t>
      </w:r>
      <w:r w:rsidR="00F92854">
        <w:rPr>
          <w:bCs/>
          <w:color w:val="auto"/>
          <w:sz w:val="22"/>
          <w:szCs w:val="22"/>
          <w:lang w:val="es-MX" w:eastAsia="ar-SA"/>
        </w:rPr>
        <w:t xml:space="preserve"> </w:t>
      </w:r>
      <w:r w:rsidR="000B7130">
        <w:rPr>
          <w:bCs/>
          <w:color w:val="auto"/>
          <w:sz w:val="22"/>
          <w:szCs w:val="22"/>
          <w:lang w:val="es-MX" w:eastAsia="ar-SA"/>
        </w:rPr>
        <w:t xml:space="preserve">obedecen al reconocimiento de la valoración de partidas que aún no </w:t>
      </w:r>
      <w:r w:rsidR="005C3D7D" w:rsidRPr="00D051CE">
        <w:rPr>
          <w:bCs/>
          <w:color w:val="auto"/>
          <w:sz w:val="22"/>
          <w:szCs w:val="22"/>
          <w:lang w:val="es-MX" w:eastAsia="ar-SA"/>
        </w:rPr>
        <w:t xml:space="preserve">hacen parte del resultado del ejercicio y por lo tanto no  </w:t>
      </w:r>
      <w:r w:rsidR="000B7130">
        <w:rPr>
          <w:bCs/>
          <w:color w:val="auto"/>
          <w:sz w:val="22"/>
          <w:szCs w:val="22"/>
          <w:lang w:val="es-MX" w:eastAsia="ar-SA"/>
        </w:rPr>
        <w:t>se han realizado, ni fueron originados a partir de flujos de efectivo</w:t>
      </w:r>
      <w:r w:rsidR="004E2D05">
        <w:rPr>
          <w:bCs/>
          <w:color w:val="auto"/>
          <w:sz w:val="22"/>
          <w:szCs w:val="22"/>
          <w:lang w:val="es-MX" w:eastAsia="ar-SA"/>
        </w:rPr>
        <w:t>,</w:t>
      </w:r>
      <w:r w:rsidR="000B2882" w:rsidRPr="000B2882">
        <w:rPr>
          <w:bCs/>
          <w:color w:val="FF0000"/>
          <w:sz w:val="22"/>
          <w:szCs w:val="22"/>
          <w:lang w:val="es-MX" w:eastAsia="ar-SA"/>
        </w:rPr>
        <w:t xml:space="preserve"> </w:t>
      </w:r>
      <w:r w:rsidR="00FC1777">
        <w:rPr>
          <w:bCs/>
          <w:color w:val="auto"/>
          <w:sz w:val="22"/>
          <w:szCs w:val="22"/>
          <w:lang w:val="es-MX" w:eastAsia="ar-SA"/>
        </w:rPr>
        <w:t xml:space="preserve">la Superintendencia de la Economía Solidaria, en </w:t>
      </w:r>
      <w:r w:rsidR="00FC1777" w:rsidRPr="00FC1777">
        <w:rPr>
          <w:bCs/>
          <w:color w:val="auto"/>
          <w:sz w:val="22"/>
          <w:szCs w:val="22"/>
          <w:lang w:val="es-MX" w:eastAsia="ar-SA"/>
        </w:rPr>
        <w:t xml:space="preserve">ejercicio de las facultades previstas en los numerales </w:t>
      </w:r>
      <w:r w:rsidR="00FC1777">
        <w:rPr>
          <w:bCs/>
          <w:color w:val="auto"/>
          <w:sz w:val="22"/>
          <w:szCs w:val="22"/>
          <w:lang w:val="es-MX" w:eastAsia="ar-SA"/>
        </w:rPr>
        <w:t>1</w:t>
      </w:r>
      <w:r w:rsidR="00FC1777" w:rsidRPr="00FC1777">
        <w:rPr>
          <w:bCs/>
          <w:color w:val="auto"/>
          <w:sz w:val="22"/>
          <w:szCs w:val="22"/>
          <w:lang w:val="es-MX" w:eastAsia="ar-SA"/>
        </w:rPr>
        <w:t xml:space="preserve"> y 22 del artículo 36 de la Ley 454 de 1998 y numeral 2 del artículo 10 de la Ley 1314 de 2009</w:t>
      </w:r>
      <w:r w:rsidR="00FC1777">
        <w:rPr>
          <w:bCs/>
          <w:color w:val="auto"/>
          <w:sz w:val="22"/>
          <w:szCs w:val="22"/>
          <w:lang w:val="es-MX" w:eastAsia="ar-SA"/>
        </w:rPr>
        <w:t xml:space="preserve"> imparte la siguiente instrucción a sus entidades vigiladas</w:t>
      </w:r>
      <w:r w:rsidR="00A06A31">
        <w:rPr>
          <w:bCs/>
          <w:color w:val="auto"/>
          <w:sz w:val="22"/>
          <w:szCs w:val="22"/>
          <w:lang w:val="es-MX" w:eastAsia="ar-SA"/>
        </w:rPr>
        <w:t xml:space="preserve"> respecto al valor registrado en la partida </w:t>
      </w:r>
      <w:r w:rsidR="00A06A31" w:rsidRPr="0089332D">
        <w:rPr>
          <w:i/>
          <w:sz w:val="22"/>
          <w:szCs w:val="22"/>
        </w:rPr>
        <w:t>“Excedentes y/o Pérdidas Acumulados”</w:t>
      </w:r>
      <w:r w:rsidR="00A06A31">
        <w:rPr>
          <w:i/>
          <w:sz w:val="22"/>
          <w:szCs w:val="22"/>
        </w:rPr>
        <w:t xml:space="preserve"> </w:t>
      </w:r>
      <w:r w:rsidR="00A06A31" w:rsidRPr="00F17C17">
        <w:rPr>
          <w:sz w:val="22"/>
          <w:szCs w:val="22"/>
        </w:rPr>
        <w:t>generada en la aplicaci</w:t>
      </w:r>
      <w:r w:rsidR="00F17C17" w:rsidRPr="00F17C17">
        <w:rPr>
          <w:sz w:val="22"/>
          <w:szCs w:val="22"/>
        </w:rPr>
        <w:t>ón por primera vez de las NIIF</w:t>
      </w:r>
      <w:r w:rsidR="00FC1777">
        <w:rPr>
          <w:bCs/>
          <w:color w:val="auto"/>
          <w:sz w:val="22"/>
          <w:szCs w:val="22"/>
          <w:lang w:val="es-MX" w:eastAsia="ar-SA"/>
        </w:rPr>
        <w:t>:</w:t>
      </w:r>
    </w:p>
    <w:p w:rsidR="00FC1777" w:rsidRDefault="00FC1777" w:rsidP="000B7130">
      <w:pPr>
        <w:pStyle w:val="Default"/>
        <w:jc w:val="both"/>
        <w:rPr>
          <w:bCs/>
          <w:color w:val="auto"/>
          <w:sz w:val="22"/>
          <w:szCs w:val="22"/>
          <w:lang w:val="es-MX" w:eastAsia="ar-SA"/>
        </w:rPr>
      </w:pPr>
    </w:p>
    <w:p w:rsidR="00D051CE" w:rsidRDefault="00FC1777" w:rsidP="00FC1777">
      <w:pPr>
        <w:pStyle w:val="Default"/>
        <w:numPr>
          <w:ilvl w:val="0"/>
          <w:numId w:val="6"/>
        </w:numPr>
        <w:jc w:val="both"/>
        <w:rPr>
          <w:bCs/>
          <w:color w:val="auto"/>
          <w:sz w:val="22"/>
          <w:szCs w:val="22"/>
          <w:lang w:val="es-MX" w:eastAsia="ar-SA"/>
        </w:rPr>
      </w:pPr>
      <w:r>
        <w:rPr>
          <w:bCs/>
          <w:color w:val="auto"/>
          <w:sz w:val="22"/>
          <w:szCs w:val="22"/>
          <w:lang w:val="es-MX" w:eastAsia="ar-SA"/>
        </w:rPr>
        <w:t>L</w:t>
      </w:r>
      <w:r w:rsidR="00F92854">
        <w:rPr>
          <w:bCs/>
          <w:color w:val="auto"/>
          <w:sz w:val="22"/>
          <w:szCs w:val="22"/>
          <w:lang w:val="es-MX" w:eastAsia="ar-SA"/>
        </w:rPr>
        <w:t xml:space="preserve">os </w:t>
      </w:r>
      <w:r w:rsidR="00F92854" w:rsidRPr="0089332D">
        <w:rPr>
          <w:i/>
          <w:sz w:val="22"/>
          <w:szCs w:val="22"/>
        </w:rPr>
        <w:t xml:space="preserve">“Excedentes y/o Pérdidas Acumulados” </w:t>
      </w:r>
      <w:r w:rsidR="004E2D05">
        <w:rPr>
          <w:bCs/>
          <w:color w:val="auto"/>
          <w:sz w:val="22"/>
          <w:szCs w:val="22"/>
          <w:lang w:val="es-MX" w:eastAsia="ar-SA"/>
        </w:rPr>
        <w:t>no podrán considerarse dentro de</w:t>
      </w:r>
      <w:r w:rsidR="0053582B">
        <w:rPr>
          <w:bCs/>
          <w:color w:val="auto"/>
          <w:sz w:val="22"/>
          <w:szCs w:val="22"/>
          <w:lang w:val="es-MX" w:eastAsia="ar-SA"/>
        </w:rPr>
        <w:t>l monto de</w:t>
      </w:r>
      <w:r w:rsidR="004E2D05">
        <w:rPr>
          <w:bCs/>
          <w:color w:val="auto"/>
          <w:sz w:val="22"/>
          <w:szCs w:val="22"/>
          <w:lang w:val="es-MX" w:eastAsia="ar-SA"/>
        </w:rPr>
        <w:t xml:space="preserve"> excedentes a ser distribuidos en virtud </w:t>
      </w:r>
      <w:r w:rsidR="00D8128D">
        <w:rPr>
          <w:bCs/>
          <w:color w:val="auto"/>
          <w:sz w:val="22"/>
          <w:szCs w:val="22"/>
          <w:lang w:val="es-MX" w:eastAsia="ar-SA"/>
        </w:rPr>
        <w:t xml:space="preserve">del régimen </w:t>
      </w:r>
      <w:r w:rsidR="00C45FEF">
        <w:rPr>
          <w:bCs/>
          <w:color w:val="auto"/>
          <w:sz w:val="22"/>
          <w:szCs w:val="22"/>
          <w:lang w:val="es-MX" w:eastAsia="ar-SA"/>
        </w:rPr>
        <w:t xml:space="preserve">legal establecido </w:t>
      </w:r>
      <w:r w:rsidR="00F92854">
        <w:rPr>
          <w:bCs/>
          <w:color w:val="auto"/>
          <w:sz w:val="22"/>
          <w:szCs w:val="22"/>
          <w:lang w:val="es-MX" w:eastAsia="ar-SA"/>
        </w:rPr>
        <w:t xml:space="preserve">en materia de distribución de excedentes para </w:t>
      </w:r>
      <w:r w:rsidR="00C45FEF">
        <w:rPr>
          <w:bCs/>
          <w:color w:val="auto"/>
          <w:sz w:val="22"/>
          <w:szCs w:val="22"/>
          <w:lang w:val="es-MX" w:eastAsia="ar-SA"/>
        </w:rPr>
        <w:t>cada tipo de entidad</w:t>
      </w:r>
      <w:r w:rsidR="00443985">
        <w:rPr>
          <w:rStyle w:val="Refdenotaalpie"/>
          <w:bCs/>
          <w:color w:val="auto"/>
          <w:sz w:val="22"/>
          <w:szCs w:val="22"/>
          <w:lang w:val="es-MX" w:eastAsia="ar-SA"/>
        </w:rPr>
        <w:footnoteReference w:id="1"/>
      </w:r>
      <w:r w:rsidR="000B2882">
        <w:rPr>
          <w:bCs/>
          <w:color w:val="auto"/>
          <w:sz w:val="22"/>
          <w:szCs w:val="22"/>
          <w:lang w:val="es-MX" w:eastAsia="ar-SA"/>
        </w:rPr>
        <w:t xml:space="preserve">. </w:t>
      </w:r>
    </w:p>
    <w:p w:rsidR="007320B6" w:rsidRDefault="007320B6" w:rsidP="007320B6">
      <w:pPr>
        <w:pStyle w:val="Default"/>
        <w:ind w:left="360"/>
        <w:jc w:val="both"/>
        <w:rPr>
          <w:bCs/>
          <w:color w:val="auto"/>
          <w:sz w:val="22"/>
          <w:szCs w:val="22"/>
          <w:lang w:val="es-MX" w:eastAsia="ar-SA"/>
        </w:rPr>
      </w:pPr>
    </w:p>
    <w:p w:rsidR="007320B6" w:rsidRPr="0053582B" w:rsidRDefault="0053582B" w:rsidP="00FC1777">
      <w:pPr>
        <w:pStyle w:val="Default"/>
        <w:numPr>
          <w:ilvl w:val="0"/>
          <w:numId w:val="6"/>
        </w:numPr>
        <w:jc w:val="both"/>
        <w:rPr>
          <w:bCs/>
          <w:color w:val="auto"/>
          <w:sz w:val="22"/>
          <w:szCs w:val="22"/>
          <w:lang w:val="es-MX" w:eastAsia="ar-SA"/>
        </w:rPr>
      </w:pPr>
      <w:r>
        <w:rPr>
          <w:bCs/>
          <w:color w:val="auto"/>
          <w:sz w:val="22"/>
          <w:szCs w:val="22"/>
          <w:lang w:val="es-MX" w:eastAsia="ar-SA"/>
        </w:rPr>
        <w:t xml:space="preserve">El saldo </w:t>
      </w:r>
      <w:r w:rsidR="00AF3963" w:rsidRPr="00D051CE">
        <w:rPr>
          <w:bCs/>
          <w:color w:val="auto"/>
          <w:sz w:val="22"/>
          <w:szCs w:val="22"/>
          <w:lang w:val="es-MX" w:eastAsia="ar-SA"/>
        </w:rPr>
        <w:t xml:space="preserve">neto </w:t>
      </w:r>
      <w:r w:rsidRPr="00D051CE">
        <w:rPr>
          <w:bCs/>
          <w:color w:val="auto"/>
          <w:sz w:val="22"/>
          <w:szCs w:val="22"/>
          <w:lang w:val="es-MX" w:eastAsia="ar-SA"/>
        </w:rPr>
        <w:t>p</w:t>
      </w:r>
      <w:r>
        <w:rPr>
          <w:bCs/>
          <w:color w:val="auto"/>
          <w:sz w:val="22"/>
          <w:szCs w:val="22"/>
          <w:lang w:val="es-MX" w:eastAsia="ar-SA"/>
        </w:rPr>
        <w:t xml:space="preserve">ositivo que se haya generado en la partida </w:t>
      </w:r>
      <w:r w:rsidR="007320B6" w:rsidRPr="0089332D">
        <w:rPr>
          <w:i/>
          <w:sz w:val="22"/>
          <w:szCs w:val="22"/>
        </w:rPr>
        <w:t>“Excedentes y/o Pérdidas Acumulados”</w:t>
      </w:r>
      <w:r>
        <w:rPr>
          <w:sz w:val="22"/>
          <w:szCs w:val="22"/>
        </w:rPr>
        <w:t xml:space="preserve"> no podrá ser distribuido para </w:t>
      </w:r>
      <w:r w:rsidRPr="0053582B">
        <w:rPr>
          <w:sz w:val="22"/>
          <w:szCs w:val="22"/>
        </w:rPr>
        <w:t>compensar pérdidas de ejercicios anteriores</w:t>
      </w:r>
      <w:r>
        <w:rPr>
          <w:sz w:val="22"/>
          <w:szCs w:val="22"/>
        </w:rPr>
        <w:t>.</w:t>
      </w:r>
    </w:p>
    <w:p w:rsidR="0053582B" w:rsidRDefault="0053582B" w:rsidP="0053582B">
      <w:pPr>
        <w:pStyle w:val="Prrafodelista"/>
        <w:rPr>
          <w:bCs/>
          <w:sz w:val="22"/>
          <w:szCs w:val="22"/>
          <w:lang w:val="es-MX"/>
        </w:rPr>
      </w:pPr>
    </w:p>
    <w:p w:rsidR="00A06A31" w:rsidRDefault="0053582B" w:rsidP="00FC1777">
      <w:pPr>
        <w:pStyle w:val="Default"/>
        <w:numPr>
          <w:ilvl w:val="0"/>
          <w:numId w:val="6"/>
        </w:numPr>
        <w:jc w:val="both"/>
        <w:rPr>
          <w:bCs/>
          <w:color w:val="auto"/>
          <w:sz w:val="22"/>
          <w:szCs w:val="22"/>
          <w:lang w:val="es-MX" w:eastAsia="ar-SA"/>
        </w:rPr>
      </w:pPr>
      <w:r>
        <w:rPr>
          <w:bCs/>
          <w:color w:val="auto"/>
          <w:sz w:val="22"/>
          <w:szCs w:val="22"/>
          <w:lang w:val="es-MX" w:eastAsia="ar-SA"/>
        </w:rPr>
        <w:t xml:space="preserve">El saldo </w:t>
      </w:r>
      <w:r w:rsidR="00AF3963" w:rsidRPr="00D051CE">
        <w:rPr>
          <w:bCs/>
          <w:color w:val="auto"/>
          <w:sz w:val="22"/>
          <w:szCs w:val="22"/>
          <w:lang w:val="es-MX" w:eastAsia="ar-SA"/>
        </w:rPr>
        <w:t xml:space="preserve">neto </w:t>
      </w:r>
      <w:r>
        <w:rPr>
          <w:bCs/>
          <w:color w:val="auto"/>
          <w:sz w:val="22"/>
          <w:szCs w:val="22"/>
          <w:lang w:val="es-MX" w:eastAsia="ar-SA"/>
        </w:rPr>
        <w:t xml:space="preserve">positivo que se haya generado en la partida </w:t>
      </w:r>
      <w:r w:rsidRPr="0089332D">
        <w:rPr>
          <w:i/>
          <w:sz w:val="22"/>
          <w:szCs w:val="22"/>
        </w:rPr>
        <w:t>“Excedentes y/o Pérdidas Acumulados”</w:t>
      </w:r>
      <w:r w:rsidR="0083599F">
        <w:rPr>
          <w:i/>
          <w:sz w:val="22"/>
          <w:szCs w:val="22"/>
        </w:rPr>
        <w:t xml:space="preserve"> </w:t>
      </w:r>
      <w:r w:rsidR="0083599F" w:rsidRPr="0083599F">
        <w:rPr>
          <w:bCs/>
          <w:color w:val="auto"/>
          <w:sz w:val="22"/>
          <w:szCs w:val="22"/>
          <w:lang w:val="es-MX" w:eastAsia="ar-SA"/>
        </w:rPr>
        <w:t>no podrá</w:t>
      </w:r>
      <w:r w:rsidR="0083599F">
        <w:rPr>
          <w:bCs/>
          <w:color w:val="auto"/>
          <w:sz w:val="22"/>
          <w:szCs w:val="22"/>
          <w:lang w:val="es-MX" w:eastAsia="ar-SA"/>
        </w:rPr>
        <w:t xml:space="preserve"> trasladarse a cuentas de reservas o fondos de carácter patrimonial</w:t>
      </w:r>
      <w:r w:rsidR="00A06A31">
        <w:rPr>
          <w:bCs/>
          <w:color w:val="auto"/>
          <w:sz w:val="22"/>
          <w:szCs w:val="22"/>
          <w:lang w:val="es-MX" w:eastAsia="ar-SA"/>
        </w:rPr>
        <w:t>.</w:t>
      </w:r>
    </w:p>
    <w:p w:rsidR="00A06A31" w:rsidRDefault="00A06A31" w:rsidP="00A06A31">
      <w:pPr>
        <w:pStyle w:val="Prrafodelista"/>
        <w:rPr>
          <w:bCs/>
          <w:sz w:val="22"/>
          <w:szCs w:val="22"/>
          <w:lang w:val="es-MX"/>
        </w:rPr>
      </w:pPr>
    </w:p>
    <w:p w:rsidR="0053582B" w:rsidRPr="00AF3963" w:rsidRDefault="00F17C17" w:rsidP="00FC1777">
      <w:pPr>
        <w:pStyle w:val="Default"/>
        <w:numPr>
          <w:ilvl w:val="0"/>
          <w:numId w:val="6"/>
        </w:numPr>
        <w:jc w:val="both"/>
        <w:rPr>
          <w:bCs/>
          <w:color w:val="auto"/>
          <w:sz w:val="22"/>
          <w:szCs w:val="22"/>
          <w:lang w:val="es-MX" w:eastAsia="ar-SA"/>
        </w:rPr>
      </w:pPr>
      <w:r>
        <w:rPr>
          <w:bCs/>
          <w:color w:val="auto"/>
          <w:sz w:val="22"/>
          <w:szCs w:val="22"/>
          <w:lang w:val="es-MX" w:eastAsia="ar-SA"/>
        </w:rPr>
        <w:t>Las entidades podrán disponer de</w:t>
      </w:r>
      <w:r w:rsidR="00A06A31">
        <w:rPr>
          <w:bCs/>
          <w:color w:val="auto"/>
          <w:sz w:val="22"/>
          <w:szCs w:val="22"/>
          <w:lang w:val="es-MX" w:eastAsia="ar-SA"/>
        </w:rPr>
        <w:t xml:space="preserve">l saldo positivo que se haya generado en la partida </w:t>
      </w:r>
      <w:r w:rsidR="00A06A31" w:rsidRPr="0089332D">
        <w:rPr>
          <w:i/>
          <w:sz w:val="22"/>
          <w:szCs w:val="22"/>
        </w:rPr>
        <w:t>“Excedentes y/o Pérdidas Acumulados”</w:t>
      </w:r>
      <w:r w:rsidR="0083599F">
        <w:rPr>
          <w:i/>
          <w:sz w:val="22"/>
          <w:szCs w:val="22"/>
        </w:rPr>
        <w:t xml:space="preserve"> </w:t>
      </w:r>
      <w:r w:rsidRPr="00F17C17">
        <w:rPr>
          <w:sz w:val="22"/>
          <w:szCs w:val="22"/>
        </w:rPr>
        <w:t>sólo hasta cuando hayan sido efectivamente realizados</w:t>
      </w:r>
      <w:r>
        <w:rPr>
          <w:sz w:val="22"/>
          <w:szCs w:val="22"/>
        </w:rPr>
        <w:t>.</w:t>
      </w:r>
    </w:p>
    <w:p w:rsidR="00AF3963" w:rsidRDefault="00AF3963" w:rsidP="00AF3963">
      <w:pPr>
        <w:pStyle w:val="Prrafodelista"/>
        <w:rPr>
          <w:bCs/>
          <w:sz w:val="22"/>
          <w:szCs w:val="22"/>
          <w:lang w:val="es-MX"/>
        </w:rPr>
      </w:pPr>
    </w:p>
    <w:p w:rsidR="00FC1777" w:rsidRPr="00D051CE" w:rsidRDefault="00AF3963" w:rsidP="00E30804">
      <w:pPr>
        <w:pStyle w:val="Default"/>
        <w:numPr>
          <w:ilvl w:val="0"/>
          <w:numId w:val="6"/>
        </w:numPr>
        <w:jc w:val="both"/>
        <w:rPr>
          <w:bCs/>
          <w:color w:val="auto"/>
          <w:sz w:val="22"/>
          <w:szCs w:val="22"/>
          <w:lang w:val="es-MX" w:eastAsia="ar-SA"/>
        </w:rPr>
      </w:pPr>
      <w:r w:rsidRPr="00D051CE">
        <w:rPr>
          <w:bCs/>
          <w:color w:val="auto"/>
          <w:sz w:val="22"/>
          <w:szCs w:val="22"/>
          <w:lang w:val="es-MX" w:eastAsia="ar-SA"/>
        </w:rPr>
        <w:t xml:space="preserve">En caso </w:t>
      </w:r>
      <w:r w:rsidR="00D051CE">
        <w:rPr>
          <w:bCs/>
          <w:color w:val="auto"/>
          <w:sz w:val="22"/>
          <w:szCs w:val="22"/>
          <w:lang w:val="es-MX" w:eastAsia="ar-SA"/>
        </w:rPr>
        <w:t xml:space="preserve">de </w:t>
      </w:r>
      <w:r w:rsidRPr="00D051CE">
        <w:rPr>
          <w:bCs/>
          <w:color w:val="auto"/>
          <w:sz w:val="22"/>
          <w:szCs w:val="22"/>
          <w:lang w:val="es-MX" w:eastAsia="ar-SA"/>
        </w:rPr>
        <w:t xml:space="preserve">que </w:t>
      </w:r>
      <w:r w:rsidR="004418D6" w:rsidRPr="00D051CE">
        <w:rPr>
          <w:bCs/>
          <w:color w:val="auto"/>
          <w:sz w:val="22"/>
          <w:szCs w:val="22"/>
          <w:lang w:val="es-MX" w:eastAsia="ar-SA"/>
        </w:rPr>
        <w:t xml:space="preserve">la aplicación por primera vez </w:t>
      </w:r>
      <w:r w:rsidR="002B7FF5" w:rsidRPr="00D051CE">
        <w:rPr>
          <w:bCs/>
          <w:color w:val="auto"/>
          <w:sz w:val="22"/>
          <w:szCs w:val="22"/>
          <w:lang w:val="es-MX" w:eastAsia="ar-SA"/>
        </w:rPr>
        <w:t xml:space="preserve">de las NIIF genere diferencias netas negativas, las mismas disminuyen el patrimonio. </w:t>
      </w:r>
    </w:p>
    <w:p w:rsidR="00FC1777" w:rsidRPr="002B7FF5" w:rsidRDefault="00FC1777" w:rsidP="000B7130">
      <w:pPr>
        <w:pStyle w:val="Default"/>
        <w:jc w:val="both"/>
        <w:rPr>
          <w:bCs/>
          <w:color w:val="FF0000"/>
          <w:sz w:val="22"/>
          <w:szCs w:val="22"/>
          <w:lang w:val="es-MX" w:eastAsia="ar-SA"/>
        </w:rPr>
      </w:pPr>
    </w:p>
    <w:p w:rsidR="00C45FEF" w:rsidRDefault="00C45FEF" w:rsidP="000B7130">
      <w:pPr>
        <w:pStyle w:val="Default"/>
        <w:jc w:val="both"/>
        <w:rPr>
          <w:bCs/>
          <w:color w:val="auto"/>
          <w:sz w:val="22"/>
          <w:szCs w:val="22"/>
          <w:lang w:val="es-MX" w:eastAsia="ar-SA"/>
        </w:rPr>
      </w:pPr>
    </w:p>
    <w:p w:rsidR="00D051CE" w:rsidRDefault="00D051CE" w:rsidP="000B7130">
      <w:pPr>
        <w:pStyle w:val="Default"/>
        <w:jc w:val="both"/>
        <w:rPr>
          <w:bCs/>
          <w:color w:val="auto"/>
          <w:sz w:val="22"/>
          <w:szCs w:val="22"/>
          <w:lang w:val="es-MX" w:eastAsia="ar-SA"/>
        </w:rPr>
      </w:pPr>
    </w:p>
    <w:p w:rsidR="00D051CE" w:rsidRDefault="00D051CE" w:rsidP="00BE520E">
      <w:pPr>
        <w:rPr>
          <w:bCs/>
          <w:i w:val="0"/>
          <w:sz w:val="22"/>
          <w:szCs w:val="22"/>
          <w:lang w:val="es-MX"/>
        </w:rPr>
      </w:pPr>
    </w:p>
    <w:p w:rsidR="00CF0587" w:rsidRPr="00BE520E" w:rsidRDefault="00CF0587" w:rsidP="00BE520E">
      <w:pPr>
        <w:rPr>
          <w:bCs/>
          <w:i w:val="0"/>
          <w:sz w:val="22"/>
          <w:szCs w:val="22"/>
          <w:lang w:val="es-MX"/>
        </w:rPr>
      </w:pPr>
      <w:r w:rsidRPr="00BE520E">
        <w:rPr>
          <w:bCs/>
          <w:i w:val="0"/>
          <w:sz w:val="22"/>
          <w:szCs w:val="22"/>
          <w:lang w:val="es-MX"/>
        </w:rPr>
        <w:t>La presente circular rige a partir de la fecha de su publicación en el Diario Oficial.</w:t>
      </w:r>
    </w:p>
    <w:p w:rsidR="00CF0587" w:rsidRPr="00BE520E" w:rsidRDefault="00CF0587" w:rsidP="00BE520E">
      <w:pPr>
        <w:rPr>
          <w:bCs/>
          <w:i w:val="0"/>
          <w:sz w:val="22"/>
          <w:szCs w:val="22"/>
          <w:lang w:val="es-MX"/>
        </w:rPr>
      </w:pPr>
    </w:p>
    <w:p w:rsidR="00EA5446" w:rsidRPr="00BE520E" w:rsidRDefault="00EA5446" w:rsidP="00BE520E">
      <w:pPr>
        <w:rPr>
          <w:bCs/>
          <w:i w:val="0"/>
          <w:sz w:val="22"/>
          <w:szCs w:val="22"/>
          <w:lang w:val="es-MX"/>
        </w:rPr>
      </w:pPr>
    </w:p>
    <w:p w:rsidR="000F7FD7" w:rsidRPr="00BE520E" w:rsidRDefault="000F7FD7" w:rsidP="00BE520E">
      <w:pPr>
        <w:rPr>
          <w:bCs/>
          <w:i w:val="0"/>
          <w:sz w:val="22"/>
          <w:szCs w:val="22"/>
          <w:lang w:val="es-MX"/>
        </w:rPr>
      </w:pPr>
      <w:r w:rsidRPr="00BE520E">
        <w:rPr>
          <w:bCs/>
          <w:i w:val="0"/>
          <w:sz w:val="22"/>
          <w:szCs w:val="22"/>
          <w:lang w:val="es-MX"/>
        </w:rPr>
        <w:t xml:space="preserve">Cordialmente, </w:t>
      </w:r>
    </w:p>
    <w:p w:rsidR="000F7FD7" w:rsidRPr="00461C9B" w:rsidRDefault="000F7FD7">
      <w:pPr>
        <w:jc w:val="both"/>
        <w:rPr>
          <w:i w:val="0"/>
          <w:iCs/>
          <w:sz w:val="22"/>
          <w:szCs w:val="22"/>
          <w:lang w:val="es-MX"/>
        </w:rPr>
      </w:pPr>
    </w:p>
    <w:p w:rsidR="000F7FD7" w:rsidRPr="00461C9B" w:rsidRDefault="000F7FD7">
      <w:pPr>
        <w:jc w:val="both"/>
        <w:rPr>
          <w:i w:val="0"/>
          <w:iCs/>
          <w:sz w:val="22"/>
          <w:szCs w:val="22"/>
          <w:lang w:val="es-MX"/>
        </w:rPr>
      </w:pPr>
    </w:p>
    <w:p w:rsidR="000F7FD7" w:rsidRDefault="000F7FD7">
      <w:pPr>
        <w:rPr>
          <w:bCs/>
          <w:i w:val="0"/>
          <w:sz w:val="22"/>
          <w:szCs w:val="22"/>
          <w:lang w:val="es-MX"/>
        </w:rPr>
      </w:pPr>
    </w:p>
    <w:p w:rsidR="00CF0587" w:rsidRDefault="00CF0587">
      <w:pPr>
        <w:rPr>
          <w:bCs/>
          <w:i w:val="0"/>
          <w:sz w:val="22"/>
          <w:szCs w:val="22"/>
          <w:lang w:val="es-MX"/>
        </w:rPr>
      </w:pPr>
    </w:p>
    <w:p w:rsidR="00CF0587" w:rsidRDefault="00CF0587">
      <w:pPr>
        <w:rPr>
          <w:bCs/>
          <w:i w:val="0"/>
          <w:sz w:val="22"/>
          <w:szCs w:val="22"/>
          <w:lang w:val="es-MX"/>
        </w:rPr>
      </w:pPr>
    </w:p>
    <w:p w:rsidR="00443985" w:rsidRDefault="00443985">
      <w:pPr>
        <w:rPr>
          <w:bCs/>
          <w:i w:val="0"/>
          <w:sz w:val="22"/>
          <w:szCs w:val="22"/>
          <w:lang w:val="es-MX"/>
        </w:rPr>
      </w:pPr>
    </w:p>
    <w:p w:rsidR="00443985" w:rsidRDefault="00443985">
      <w:pPr>
        <w:rPr>
          <w:bCs/>
          <w:i w:val="0"/>
          <w:sz w:val="22"/>
          <w:szCs w:val="22"/>
          <w:lang w:val="es-MX"/>
        </w:rPr>
      </w:pPr>
    </w:p>
    <w:p w:rsidR="00443985" w:rsidRDefault="00443985">
      <w:pPr>
        <w:rPr>
          <w:bCs/>
          <w:i w:val="0"/>
          <w:sz w:val="22"/>
          <w:szCs w:val="22"/>
          <w:lang w:val="es-MX"/>
        </w:rPr>
      </w:pPr>
      <w:bookmarkStart w:id="0" w:name="_GoBack"/>
      <w:bookmarkEnd w:id="0"/>
    </w:p>
    <w:p w:rsidR="000F7FD7" w:rsidRDefault="00CF0587">
      <w:pPr>
        <w:rPr>
          <w:b/>
          <w:bCs/>
          <w:i w:val="0"/>
          <w:sz w:val="22"/>
          <w:szCs w:val="22"/>
          <w:lang w:val="es-MX"/>
        </w:rPr>
      </w:pPr>
      <w:r>
        <w:rPr>
          <w:b/>
          <w:bCs/>
          <w:i w:val="0"/>
          <w:sz w:val="22"/>
          <w:szCs w:val="22"/>
          <w:lang w:val="es-MX"/>
        </w:rPr>
        <w:t>MARIANA GUTIERREZ DUEÑAS</w:t>
      </w:r>
    </w:p>
    <w:p w:rsidR="00CF0587" w:rsidRPr="00CF0587" w:rsidRDefault="00CF0587">
      <w:pPr>
        <w:rPr>
          <w:bCs/>
          <w:i w:val="0"/>
          <w:sz w:val="22"/>
          <w:szCs w:val="22"/>
          <w:lang w:val="es-MX"/>
        </w:rPr>
      </w:pPr>
      <w:r>
        <w:rPr>
          <w:bCs/>
          <w:i w:val="0"/>
          <w:sz w:val="22"/>
          <w:szCs w:val="22"/>
          <w:lang w:val="es-MX"/>
        </w:rPr>
        <w:t>Superintendente</w:t>
      </w:r>
    </w:p>
    <w:p w:rsidR="00CF0587" w:rsidRPr="00461C9B" w:rsidRDefault="00CF0587">
      <w:pPr>
        <w:rPr>
          <w:bCs/>
          <w:i w:val="0"/>
          <w:sz w:val="22"/>
          <w:szCs w:val="22"/>
          <w:lang w:val="es-MX"/>
        </w:rPr>
      </w:pPr>
    </w:p>
    <w:p w:rsidR="000F7FD7" w:rsidRPr="00D051CE" w:rsidRDefault="000F7FD7" w:rsidP="00461C9B">
      <w:pPr>
        <w:suppressAutoHyphens w:val="0"/>
        <w:rPr>
          <w:i w:val="0"/>
          <w:sz w:val="14"/>
          <w:szCs w:val="14"/>
          <w:lang w:val="es-MX"/>
        </w:rPr>
      </w:pPr>
      <w:r w:rsidRPr="00D051CE">
        <w:rPr>
          <w:i w:val="0"/>
          <w:sz w:val="14"/>
          <w:szCs w:val="14"/>
          <w:lang w:val="es-MX"/>
        </w:rPr>
        <w:t xml:space="preserve">Proyectó: </w:t>
      </w:r>
      <w:r w:rsidR="005A7004" w:rsidRPr="00D051CE">
        <w:rPr>
          <w:i w:val="0"/>
          <w:sz w:val="14"/>
          <w:szCs w:val="14"/>
          <w:lang w:val="es-MX"/>
        </w:rPr>
        <w:t>MARELVI BERNAL NEMPEQUE</w:t>
      </w:r>
    </w:p>
    <w:p w:rsidR="005A7004" w:rsidRPr="00D051CE" w:rsidRDefault="005A7004" w:rsidP="00461C9B">
      <w:pPr>
        <w:suppressAutoHyphens w:val="0"/>
        <w:rPr>
          <w:i w:val="0"/>
          <w:sz w:val="14"/>
          <w:szCs w:val="14"/>
          <w:lang w:val="es-MX"/>
        </w:rPr>
      </w:pPr>
      <w:r w:rsidRPr="00D051CE">
        <w:rPr>
          <w:i w:val="0"/>
          <w:sz w:val="14"/>
          <w:szCs w:val="14"/>
          <w:lang w:val="es-MX"/>
        </w:rPr>
        <w:t>LUIS ALBERTO PADILLA</w:t>
      </w:r>
    </w:p>
    <w:p w:rsidR="003433EA" w:rsidRPr="00D051CE" w:rsidRDefault="000F7FD7" w:rsidP="00461C9B">
      <w:pPr>
        <w:suppressAutoHyphens w:val="0"/>
        <w:rPr>
          <w:i w:val="0"/>
          <w:sz w:val="14"/>
          <w:szCs w:val="14"/>
          <w:lang w:val="es-MX"/>
        </w:rPr>
      </w:pPr>
      <w:r w:rsidRPr="00D051CE">
        <w:rPr>
          <w:i w:val="0"/>
          <w:sz w:val="14"/>
          <w:szCs w:val="14"/>
          <w:lang w:val="es-MX"/>
        </w:rPr>
        <w:t xml:space="preserve">Revisó: </w:t>
      </w:r>
      <w:r w:rsidR="003433EA" w:rsidRPr="00D051CE">
        <w:rPr>
          <w:i w:val="0"/>
          <w:sz w:val="14"/>
          <w:szCs w:val="14"/>
          <w:lang w:val="es-MX"/>
        </w:rPr>
        <w:t>DIMAS  SAMPAYO HUERTAS</w:t>
      </w:r>
    </w:p>
    <w:p w:rsidR="003433EA" w:rsidRPr="00D051CE" w:rsidRDefault="003433EA" w:rsidP="00461C9B">
      <w:pPr>
        <w:suppressAutoHyphens w:val="0"/>
        <w:rPr>
          <w:i w:val="0"/>
          <w:sz w:val="14"/>
          <w:szCs w:val="14"/>
          <w:lang w:val="es-MX"/>
        </w:rPr>
      </w:pPr>
      <w:r w:rsidRPr="00D051CE">
        <w:rPr>
          <w:i w:val="0"/>
          <w:sz w:val="14"/>
          <w:szCs w:val="14"/>
          <w:lang w:val="es-MX"/>
        </w:rPr>
        <w:t>LEON JAIME  HENAO OROZCO</w:t>
      </w:r>
    </w:p>
    <w:p w:rsidR="003433EA" w:rsidRPr="00D051CE" w:rsidRDefault="003433EA" w:rsidP="00461C9B">
      <w:pPr>
        <w:suppressAutoHyphens w:val="0"/>
        <w:rPr>
          <w:i w:val="0"/>
          <w:sz w:val="14"/>
          <w:szCs w:val="14"/>
          <w:lang w:val="es-MX"/>
        </w:rPr>
      </w:pPr>
      <w:r w:rsidRPr="00D051CE">
        <w:rPr>
          <w:i w:val="0"/>
          <w:sz w:val="14"/>
          <w:szCs w:val="14"/>
          <w:lang w:val="es-MX"/>
        </w:rPr>
        <w:t>LUIS JAIME  JIMENEZ MORANTES</w:t>
      </w:r>
    </w:p>
    <w:p w:rsidR="000F7FD7" w:rsidRPr="00D051CE" w:rsidRDefault="003433EA" w:rsidP="00CF0587">
      <w:pPr>
        <w:suppressAutoHyphens w:val="0"/>
        <w:rPr>
          <w:i w:val="0"/>
          <w:sz w:val="14"/>
          <w:szCs w:val="14"/>
          <w:lang w:val="es-MX"/>
        </w:rPr>
      </w:pPr>
      <w:r w:rsidRPr="00D051CE">
        <w:rPr>
          <w:i w:val="0"/>
          <w:sz w:val="14"/>
          <w:szCs w:val="14"/>
          <w:lang w:val="es-MX"/>
        </w:rPr>
        <w:t xml:space="preserve">MARTHA NURY  BELTRAN MISAS  </w:t>
      </w:r>
    </w:p>
    <w:p w:rsidR="00A87062" w:rsidRPr="00D051CE" w:rsidRDefault="00A87062" w:rsidP="00CF0587">
      <w:pPr>
        <w:suppressAutoHyphens w:val="0"/>
        <w:rPr>
          <w:sz w:val="14"/>
          <w:szCs w:val="14"/>
        </w:rPr>
      </w:pPr>
    </w:p>
    <w:p w:rsidR="004E5A04" w:rsidRDefault="004E5A04" w:rsidP="00CF0587">
      <w:pPr>
        <w:suppressAutoHyphens w:val="0"/>
        <w:rPr>
          <w:sz w:val="18"/>
          <w:szCs w:val="18"/>
        </w:rPr>
      </w:pPr>
    </w:p>
    <w:sectPr w:rsidR="004E5A04" w:rsidSect="00070BC6">
      <w:headerReference w:type="default" r:id="rId8"/>
      <w:footerReference w:type="default" r:id="rId9"/>
      <w:headerReference w:type="first" r:id="rId10"/>
      <w:footerReference w:type="first" r:id="rId11"/>
      <w:footnotePr>
        <w:pos w:val="beneathText"/>
      </w:footnotePr>
      <w:endnotePr>
        <w:numFmt w:val="decimal"/>
      </w:endnotePr>
      <w:pgSz w:w="12242" w:h="15842" w:code="1"/>
      <w:pgMar w:top="1525" w:right="1418" w:bottom="1134" w:left="1701" w:header="73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E8D" w:rsidRDefault="001C7E8D">
      <w:r>
        <w:separator/>
      </w:r>
    </w:p>
  </w:endnote>
  <w:endnote w:type="continuationSeparator" w:id="0">
    <w:p w:rsidR="001C7E8D" w:rsidRDefault="001C7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6C4" w:rsidRDefault="00EE26C4">
    <w:pPr>
      <w:pStyle w:val="Piedepgina"/>
      <w:spacing w:line="240" w:lineRule="atLeas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6C4" w:rsidRDefault="00EE26C4" w:rsidP="000315A7">
    <w:pPr>
      <w:pStyle w:val="Piedepgina"/>
      <w:rPr>
        <w:sz w:val="16"/>
        <w:szCs w:val="16"/>
      </w:rPr>
    </w:pPr>
    <w:r>
      <w:rPr>
        <w:noProof/>
        <w:lang w:eastAsia="es-CO"/>
      </w:rPr>
      <w:drawing>
        <wp:anchor distT="0" distB="0" distL="114300" distR="114300" simplePos="0" relativeHeight="251657216" behindDoc="0" locked="0" layoutInCell="1" allowOverlap="1" wp14:anchorId="105331BE" wp14:editId="62A7EDCF">
          <wp:simplePos x="0" y="0"/>
          <wp:positionH relativeFrom="column">
            <wp:posOffset>5043170</wp:posOffset>
          </wp:positionH>
          <wp:positionV relativeFrom="paragraph">
            <wp:posOffset>-2540</wp:posOffset>
          </wp:positionV>
          <wp:extent cx="1233170" cy="999490"/>
          <wp:effectExtent l="0" t="0" r="5080" b="0"/>
          <wp:wrapNone/>
          <wp:docPr id="11" name="Imagen 68" descr="ISO+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8" descr="ISO+IQ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170" cy="9994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6192" behindDoc="0" locked="0" layoutInCell="1" allowOverlap="1" wp14:anchorId="5F5B0958" wp14:editId="42826B6E">
          <wp:simplePos x="0" y="0"/>
          <wp:positionH relativeFrom="column">
            <wp:posOffset>-393700</wp:posOffset>
          </wp:positionH>
          <wp:positionV relativeFrom="paragraph">
            <wp:posOffset>-2540</wp:posOffset>
          </wp:positionV>
          <wp:extent cx="899795" cy="1035685"/>
          <wp:effectExtent l="0" t="0" r="0" b="0"/>
          <wp:wrapNone/>
          <wp:docPr id="12" name="Imagen 6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7" descr="logo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795" cy="103568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EE26C4" w:rsidRDefault="00EE26C4" w:rsidP="00773ACA">
    <w:pPr>
      <w:pStyle w:val="Piedepgina"/>
      <w:tabs>
        <w:tab w:val="center" w:pos="993"/>
      </w:tabs>
      <w:spacing w:line="240" w:lineRule="atLeast"/>
      <w:ind w:left="-454"/>
      <w:jc w:val="center"/>
      <w:rPr>
        <w:b/>
        <w:bCs/>
        <w:i w:val="0"/>
        <w:iCs/>
        <w:w w:val="200"/>
        <w:sz w:val="14"/>
        <w:szCs w:val="14"/>
      </w:rPr>
    </w:pPr>
  </w:p>
  <w:p w:rsidR="00EE26C4" w:rsidRDefault="00EE26C4" w:rsidP="00773ACA">
    <w:pPr>
      <w:pStyle w:val="Piedepgina"/>
      <w:tabs>
        <w:tab w:val="center" w:pos="993"/>
      </w:tabs>
      <w:spacing w:line="240" w:lineRule="atLeast"/>
      <w:ind w:left="-454"/>
      <w:jc w:val="center"/>
      <w:rPr>
        <w:b/>
        <w:bCs/>
        <w:i w:val="0"/>
        <w:iCs/>
        <w:w w:val="200"/>
        <w:sz w:val="14"/>
        <w:szCs w:val="14"/>
      </w:rPr>
    </w:pPr>
  </w:p>
  <w:p w:rsidR="00EE26C4" w:rsidRDefault="00EE26C4" w:rsidP="00773ACA">
    <w:pPr>
      <w:pStyle w:val="Piedepgina"/>
      <w:tabs>
        <w:tab w:val="center" w:pos="993"/>
      </w:tabs>
      <w:spacing w:line="240" w:lineRule="atLeast"/>
      <w:ind w:left="-454"/>
      <w:jc w:val="center"/>
      <w:rPr>
        <w:b/>
        <w:bCs/>
        <w:i w:val="0"/>
        <w:iCs/>
        <w:w w:val="200"/>
        <w:sz w:val="14"/>
        <w:szCs w:val="14"/>
      </w:rPr>
    </w:pPr>
    <w:r>
      <w:rPr>
        <w:b/>
        <w:bCs/>
        <w:i w:val="0"/>
        <w:iCs/>
        <w:w w:val="200"/>
        <w:sz w:val="14"/>
        <w:szCs w:val="14"/>
      </w:rPr>
      <w:t>Por unas entidades solidarias confiables</w:t>
    </w:r>
  </w:p>
  <w:p w:rsidR="00EE26C4" w:rsidRDefault="00EE26C4" w:rsidP="00773ACA">
    <w:pPr>
      <w:pStyle w:val="Piedepgina"/>
      <w:tabs>
        <w:tab w:val="center" w:pos="993"/>
      </w:tabs>
      <w:spacing w:line="40" w:lineRule="atLeast"/>
      <w:ind w:left="-454"/>
      <w:jc w:val="center"/>
    </w:pPr>
    <w:r>
      <w:rPr>
        <w:noProof/>
        <w:lang w:eastAsia="es-CO"/>
      </w:rPr>
      <w:drawing>
        <wp:inline distT="0" distB="0" distL="0" distR="0" wp14:anchorId="20603B79" wp14:editId="26D642A3">
          <wp:extent cx="3854450" cy="31750"/>
          <wp:effectExtent l="0" t="0" r="0" b="6350"/>
          <wp:docPr id="13" name="Imagen 13"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ine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54450" cy="31750"/>
                  </a:xfrm>
                  <a:prstGeom prst="rect">
                    <a:avLst/>
                  </a:prstGeom>
                  <a:noFill/>
                  <a:ln>
                    <a:noFill/>
                  </a:ln>
                </pic:spPr>
              </pic:pic>
            </a:graphicData>
          </a:graphic>
        </wp:inline>
      </w:drawing>
    </w:r>
  </w:p>
  <w:p w:rsidR="00EE26C4" w:rsidRDefault="00EE26C4" w:rsidP="00773ACA">
    <w:pPr>
      <w:pStyle w:val="Piedepgina"/>
      <w:tabs>
        <w:tab w:val="center" w:pos="993"/>
      </w:tabs>
      <w:spacing w:line="40" w:lineRule="atLeast"/>
      <w:ind w:left="-454"/>
      <w:jc w:val="center"/>
      <w:rPr>
        <w:sz w:val="6"/>
        <w:szCs w:val="6"/>
      </w:rPr>
    </w:pPr>
  </w:p>
  <w:p w:rsidR="00EE26C4" w:rsidRPr="00A04A27" w:rsidRDefault="00EE26C4" w:rsidP="00FA17E0">
    <w:pPr>
      <w:pStyle w:val="Piedepgina"/>
      <w:tabs>
        <w:tab w:val="center" w:pos="993"/>
      </w:tabs>
      <w:spacing w:line="40" w:lineRule="atLeast"/>
      <w:ind w:left="-454"/>
      <w:jc w:val="center"/>
      <w:rPr>
        <w:i w:val="0"/>
        <w:sz w:val="15"/>
        <w:lang w:val="fr-FR"/>
      </w:rPr>
    </w:pPr>
    <w:r w:rsidRPr="00A04A27">
      <w:rPr>
        <w:i w:val="0"/>
        <w:sz w:val="15"/>
      </w:rPr>
      <w:t xml:space="preserve">Carrera 7 No. 31-10 Piso 11. </w:t>
    </w:r>
    <w:r w:rsidRPr="00A04A27">
      <w:rPr>
        <w:i w:val="0"/>
        <w:sz w:val="15"/>
        <w:lang w:val="fr-FR"/>
      </w:rPr>
      <w:t xml:space="preserve">PBX (1) 4895009. FAX – </w:t>
    </w:r>
    <w:proofErr w:type="spellStart"/>
    <w:r w:rsidRPr="00A04A27">
      <w:rPr>
        <w:i w:val="0"/>
        <w:sz w:val="15"/>
        <w:lang w:val="fr-FR"/>
      </w:rPr>
      <w:t>Extensión</w:t>
    </w:r>
    <w:proofErr w:type="spellEnd"/>
    <w:r w:rsidRPr="00A04A27">
      <w:rPr>
        <w:i w:val="0"/>
        <w:sz w:val="15"/>
        <w:lang w:val="fr-FR"/>
      </w:rPr>
      <w:t xml:space="preserve"> 125 Línea </w:t>
    </w:r>
    <w:proofErr w:type="spellStart"/>
    <w:r w:rsidRPr="00A04A27">
      <w:rPr>
        <w:i w:val="0"/>
        <w:sz w:val="15"/>
        <w:lang w:val="fr-FR"/>
      </w:rPr>
      <w:t>gratuita</w:t>
    </w:r>
    <w:proofErr w:type="spellEnd"/>
    <w:r w:rsidRPr="00A04A27">
      <w:rPr>
        <w:i w:val="0"/>
        <w:sz w:val="15"/>
        <w:lang w:val="fr-FR"/>
      </w:rPr>
      <w:t xml:space="preserve"> 018000 511737</w:t>
    </w:r>
  </w:p>
  <w:p w:rsidR="00EE26C4" w:rsidRPr="00A04A27" w:rsidRDefault="00EE26C4" w:rsidP="00FA17E0">
    <w:pPr>
      <w:pStyle w:val="Piedepgina"/>
      <w:tabs>
        <w:tab w:val="center" w:pos="993"/>
      </w:tabs>
      <w:spacing w:line="240" w:lineRule="atLeast"/>
      <w:ind w:left="-454"/>
      <w:jc w:val="center"/>
      <w:rPr>
        <w:i w:val="0"/>
        <w:sz w:val="15"/>
      </w:rPr>
    </w:pPr>
    <w:r w:rsidRPr="00A04A27">
      <w:rPr>
        <w:i w:val="0"/>
        <w:sz w:val="15"/>
      </w:rPr>
      <w:t>www.supersolidaria.gov.co  Correo electrónico: cau@supersolidaria.gov.co</w:t>
    </w:r>
  </w:p>
  <w:p w:rsidR="00EE26C4" w:rsidRDefault="00EE26C4" w:rsidP="00FA17E0">
    <w:pPr>
      <w:pStyle w:val="Piedepgina"/>
      <w:tabs>
        <w:tab w:val="center" w:pos="993"/>
      </w:tabs>
      <w:ind w:left="-454"/>
      <w:jc w:val="center"/>
    </w:pPr>
    <w:r w:rsidRPr="00A04A27">
      <w:rPr>
        <w:i w:val="0"/>
        <w:sz w:val="15"/>
      </w:rPr>
      <w:t>NIT: 830.053.043 5 Bogotá D.C., Colombia</w:t>
    </w:r>
  </w:p>
  <w:p w:rsidR="00EE26C4" w:rsidRPr="000315A7" w:rsidRDefault="00EE26C4" w:rsidP="00773ACA">
    <w:pPr>
      <w:pStyle w:val="Piedepgina"/>
      <w:rPr>
        <w:lang w:val="es-ES" w:eastAsia="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E8D" w:rsidRDefault="001C7E8D">
      <w:r>
        <w:separator/>
      </w:r>
    </w:p>
  </w:footnote>
  <w:footnote w:type="continuationSeparator" w:id="0">
    <w:p w:rsidR="001C7E8D" w:rsidRDefault="001C7E8D">
      <w:r>
        <w:continuationSeparator/>
      </w:r>
    </w:p>
  </w:footnote>
  <w:footnote w:id="1">
    <w:p w:rsidR="00443985" w:rsidRPr="00D051CE" w:rsidRDefault="00443985" w:rsidP="00443985">
      <w:pPr>
        <w:pStyle w:val="Piedepgina"/>
        <w:rPr>
          <w:bCs/>
          <w:sz w:val="16"/>
          <w:szCs w:val="16"/>
          <w:lang w:val="es-MX"/>
        </w:rPr>
      </w:pPr>
      <w:r>
        <w:rPr>
          <w:rStyle w:val="Refdenotaalpie"/>
        </w:rPr>
        <w:footnoteRef/>
      </w:r>
      <w:r>
        <w:t xml:space="preserve"> </w:t>
      </w:r>
      <w:r w:rsidRPr="00D051CE">
        <w:rPr>
          <w:bCs/>
          <w:sz w:val="16"/>
          <w:szCs w:val="16"/>
          <w:lang w:val="es-MX"/>
        </w:rPr>
        <w:t>Artículo 54 de la Ley 79 de 1988 tratándose de cooperativas</w:t>
      </w:r>
    </w:p>
    <w:p w:rsidR="00443985" w:rsidRPr="00D051CE" w:rsidRDefault="00443985" w:rsidP="00443985">
      <w:pPr>
        <w:pStyle w:val="Piedepgina"/>
        <w:rPr>
          <w:bCs/>
          <w:sz w:val="16"/>
          <w:szCs w:val="16"/>
          <w:lang w:val="es-MX"/>
        </w:rPr>
      </w:pPr>
      <w:r>
        <w:rPr>
          <w:bCs/>
          <w:sz w:val="16"/>
          <w:szCs w:val="16"/>
          <w:lang w:val="es-MX"/>
        </w:rPr>
        <w:t xml:space="preserve">   </w:t>
      </w:r>
      <w:r w:rsidRPr="00D051CE">
        <w:rPr>
          <w:bCs/>
          <w:sz w:val="16"/>
          <w:szCs w:val="16"/>
          <w:lang w:val="es-MX"/>
        </w:rPr>
        <w:t>Capítulo 4 del Decreto 1480 de 1989 para asociaciones mutualistas</w:t>
      </w:r>
    </w:p>
    <w:p w:rsidR="00443985" w:rsidRPr="00D051CE" w:rsidRDefault="00443985" w:rsidP="00443985">
      <w:pPr>
        <w:pStyle w:val="Piedepgina"/>
        <w:rPr>
          <w:bCs/>
          <w:sz w:val="16"/>
          <w:szCs w:val="16"/>
          <w:lang w:val="es-MX"/>
        </w:rPr>
      </w:pPr>
      <w:r>
        <w:rPr>
          <w:bCs/>
          <w:sz w:val="16"/>
          <w:szCs w:val="16"/>
          <w:lang w:val="es-MX"/>
        </w:rPr>
        <w:t xml:space="preserve">   </w:t>
      </w:r>
      <w:r w:rsidRPr="00D051CE">
        <w:rPr>
          <w:bCs/>
          <w:sz w:val="16"/>
          <w:szCs w:val="16"/>
          <w:lang w:val="es-MX"/>
        </w:rPr>
        <w:t xml:space="preserve">Capítulo 4 del Decreto 1481 de 1989 en el caso de fondos de empleados </w:t>
      </w:r>
    </w:p>
    <w:p w:rsidR="00443985" w:rsidRPr="00D051CE" w:rsidRDefault="00443985" w:rsidP="00443985">
      <w:pPr>
        <w:pStyle w:val="Piedepgina"/>
        <w:rPr>
          <w:sz w:val="16"/>
          <w:szCs w:val="16"/>
        </w:rPr>
      </w:pPr>
      <w:r>
        <w:rPr>
          <w:bCs/>
          <w:sz w:val="16"/>
          <w:szCs w:val="16"/>
          <w:lang w:val="es-MX"/>
        </w:rPr>
        <w:t xml:space="preserve">   </w:t>
      </w:r>
      <w:r w:rsidRPr="00D051CE">
        <w:rPr>
          <w:bCs/>
          <w:sz w:val="16"/>
          <w:szCs w:val="16"/>
          <w:lang w:val="es-MX"/>
        </w:rPr>
        <w:t>Capítulo 3 del Decreto1482 de 1989 para las empresas de servicios en las formas de administraciones públicas cooperativas</w:t>
      </w:r>
    </w:p>
    <w:p w:rsidR="00443985" w:rsidRDefault="00443985">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6C4" w:rsidRDefault="00EE26C4">
    <w:pPr>
      <w:ind w:right="-59"/>
      <w:rPr>
        <w:sz w:val="18"/>
        <w:szCs w:val="18"/>
      </w:rPr>
    </w:pPr>
    <w:r>
      <w:rPr>
        <w:bCs/>
        <w:sz w:val="18"/>
        <w:szCs w:val="18"/>
        <w:lang w:val="es-ES_tradnl"/>
      </w:rPr>
      <w:t xml:space="preserve">110 - Circular Externa No. </w:t>
    </w:r>
    <w:bookmarkStart w:id="1" w:name="numassigned_1"/>
    <w:r>
      <w:rPr>
        <w:bCs/>
        <w:sz w:val="18"/>
        <w:szCs w:val="18"/>
        <w:lang w:val="es-ES_tradnl"/>
      </w:rPr>
      <w:t xml:space="preserve">  </w:t>
    </w:r>
    <w:bookmarkEnd w:id="1"/>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rStyle w:val="Nmerodepgina"/>
        <w:rFonts w:cs="Arial"/>
        <w:iCs/>
        <w:sz w:val="18"/>
        <w:szCs w:val="18"/>
      </w:rPr>
      <w:t xml:space="preserve">Página </w:t>
    </w:r>
    <w:r>
      <w:rPr>
        <w:rStyle w:val="Nmerodepgina"/>
        <w:rFonts w:cs="Arial"/>
        <w:iCs/>
        <w:sz w:val="18"/>
        <w:szCs w:val="18"/>
      </w:rPr>
      <w:fldChar w:fldCharType="begin"/>
    </w:r>
    <w:r>
      <w:rPr>
        <w:rStyle w:val="Nmerodepgina"/>
        <w:rFonts w:cs="Arial"/>
        <w:iCs/>
        <w:sz w:val="18"/>
        <w:szCs w:val="18"/>
      </w:rPr>
      <w:instrText xml:space="preserve"> PAGE </w:instrText>
    </w:r>
    <w:r>
      <w:rPr>
        <w:rStyle w:val="Nmerodepgina"/>
        <w:rFonts w:cs="Arial"/>
        <w:iCs/>
        <w:sz w:val="18"/>
        <w:szCs w:val="18"/>
      </w:rPr>
      <w:fldChar w:fldCharType="separate"/>
    </w:r>
    <w:r w:rsidR="00443985">
      <w:rPr>
        <w:rStyle w:val="Nmerodepgina"/>
        <w:rFonts w:cs="Arial"/>
        <w:iCs/>
        <w:noProof/>
        <w:sz w:val="18"/>
        <w:szCs w:val="18"/>
      </w:rPr>
      <w:t>2</w:t>
    </w:r>
    <w:r>
      <w:rPr>
        <w:rStyle w:val="Nmerodepgina"/>
        <w:rFonts w:cs="Arial"/>
        <w:iCs/>
        <w:sz w:val="18"/>
        <w:szCs w:val="18"/>
      </w:rPr>
      <w:fldChar w:fldCharType="end"/>
    </w:r>
    <w:r>
      <w:rPr>
        <w:rStyle w:val="Nmerodepgina"/>
        <w:rFonts w:cs="Arial"/>
        <w:iCs/>
        <w:sz w:val="18"/>
        <w:szCs w:val="18"/>
      </w:rPr>
      <w:t xml:space="preserve"> de </w:t>
    </w:r>
    <w:r>
      <w:rPr>
        <w:rStyle w:val="Nmerodepgina"/>
        <w:rFonts w:cs="Arial"/>
        <w:iCs/>
        <w:sz w:val="18"/>
        <w:szCs w:val="18"/>
      </w:rPr>
      <w:fldChar w:fldCharType="begin"/>
    </w:r>
    <w:r>
      <w:rPr>
        <w:rStyle w:val="Nmerodepgina"/>
        <w:rFonts w:cs="Arial"/>
        <w:iCs/>
        <w:sz w:val="18"/>
        <w:szCs w:val="18"/>
      </w:rPr>
      <w:instrText xml:space="preserve"> NUMPAGES </w:instrText>
    </w:r>
    <w:r>
      <w:rPr>
        <w:rStyle w:val="Nmerodepgina"/>
        <w:rFonts w:cs="Arial"/>
        <w:iCs/>
        <w:sz w:val="18"/>
        <w:szCs w:val="18"/>
      </w:rPr>
      <w:fldChar w:fldCharType="separate"/>
    </w:r>
    <w:r w:rsidR="00443985">
      <w:rPr>
        <w:rStyle w:val="Nmerodepgina"/>
        <w:rFonts w:cs="Arial"/>
        <w:iCs/>
        <w:noProof/>
        <w:sz w:val="18"/>
        <w:szCs w:val="18"/>
      </w:rPr>
      <w:t>3</w:t>
    </w:r>
    <w:r>
      <w:rPr>
        <w:rStyle w:val="Nmerodepgina"/>
        <w:rFonts w:cs="Arial"/>
        <w:iCs/>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6C4" w:rsidRDefault="00EE26C4">
    <w:pPr>
      <w:pStyle w:val="Encabezado"/>
      <w:tabs>
        <w:tab w:val="clear" w:pos="8504"/>
        <w:tab w:val="right" w:pos="9072"/>
      </w:tabs>
    </w:pPr>
    <w:r>
      <w:rPr>
        <w:noProof/>
        <w:lang w:eastAsia="es-CO"/>
      </w:rPr>
      <w:drawing>
        <wp:anchor distT="0" distB="0" distL="114300" distR="114300" simplePos="0" relativeHeight="251660288" behindDoc="0" locked="0" layoutInCell="1" allowOverlap="1" wp14:anchorId="31D95BE9" wp14:editId="7AA7D2BB">
          <wp:simplePos x="0" y="0"/>
          <wp:positionH relativeFrom="column">
            <wp:posOffset>4679950</wp:posOffset>
          </wp:positionH>
          <wp:positionV relativeFrom="paragraph">
            <wp:posOffset>-58420</wp:posOffset>
          </wp:positionV>
          <wp:extent cx="1327150" cy="596900"/>
          <wp:effectExtent l="0" t="0" r="6350" b="0"/>
          <wp:wrapNone/>
          <wp:docPr id="9"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150" cy="596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8240" behindDoc="0" locked="0" layoutInCell="1" allowOverlap="1" wp14:anchorId="134C4F04" wp14:editId="71800253">
          <wp:simplePos x="0" y="0"/>
          <wp:positionH relativeFrom="column">
            <wp:posOffset>0</wp:posOffset>
          </wp:positionH>
          <wp:positionV relativeFrom="paragraph">
            <wp:posOffset>-38100</wp:posOffset>
          </wp:positionV>
          <wp:extent cx="2458720" cy="589915"/>
          <wp:effectExtent l="0" t="0" r="0" b="63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8720" cy="58991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EE26C4" w:rsidRDefault="00EE26C4">
    <w:pPr>
      <w:pStyle w:val="Encabezado"/>
    </w:pPr>
  </w:p>
  <w:p w:rsidR="00EE26C4" w:rsidRDefault="00EE26C4">
    <w:pPr>
      <w:pStyle w:val="Encabezado"/>
    </w:pPr>
  </w:p>
  <w:p w:rsidR="00EE26C4" w:rsidRDefault="00EE26C4">
    <w:pPr>
      <w:pStyle w:val="Encabezado"/>
    </w:pPr>
  </w:p>
  <w:p w:rsidR="00EE26C4" w:rsidRDefault="00EE26C4">
    <w:pPr>
      <w:pStyle w:val="Ttulo1"/>
      <w:jc w:val="center"/>
      <w:rPr>
        <w:sz w:val="28"/>
        <w:szCs w:val="28"/>
      </w:rPr>
    </w:pPr>
  </w:p>
  <w:p w:rsidR="00430251" w:rsidRPr="00430251" w:rsidRDefault="00430251" w:rsidP="00430251"/>
  <w:p w:rsidR="00EE26C4" w:rsidRPr="00FA17E0" w:rsidRDefault="00EE26C4">
    <w:pPr>
      <w:pStyle w:val="Ttulo1"/>
      <w:jc w:val="center"/>
      <w:rPr>
        <w:sz w:val="22"/>
        <w:szCs w:val="22"/>
      </w:rPr>
    </w:pPr>
  </w:p>
  <w:p w:rsidR="00EE26C4" w:rsidRDefault="00EE26C4">
    <w:pPr>
      <w:pStyle w:val="Ttulo1"/>
      <w:jc w:val="center"/>
      <w:rPr>
        <w:sz w:val="28"/>
        <w:szCs w:val="28"/>
      </w:rPr>
    </w:pPr>
    <w:r>
      <w:rPr>
        <w:sz w:val="28"/>
        <w:szCs w:val="28"/>
      </w:rPr>
      <w:t xml:space="preserve">CIRCULAR EXTERNA No. </w:t>
    </w:r>
    <w:bookmarkStart w:id="2" w:name="numassigned"/>
    <w:r>
      <w:rPr>
        <w:sz w:val="28"/>
        <w:szCs w:val="28"/>
      </w:rPr>
      <w:t xml:space="preserve">  </w:t>
    </w:r>
    <w:bookmarkEnd w:id="2"/>
  </w:p>
  <w:p w:rsidR="00EE26C4" w:rsidRDefault="00EE26C4">
    <w:pPr>
      <w:rPr>
        <w:b/>
        <w:bCs/>
        <w:i w:val="0"/>
      </w:rPr>
    </w:pPr>
  </w:p>
  <w:p w:rsidR="00EE26C4" w:rsidRDefault="00EE26C4">
    <w:pPr>
      <w:rPr>
        <w:b/>
        <w:bCs/>
        <w:i w:val="0"/>
      </w:rPr>
    </w:pPr>
  </w:p>
  <w:tbl>
    <w:tblPr>
      <w:tblW w:w="0" w:type="auto"/>
      <w:tblLook w:val="00A0" w:firstRow="1" w:lastRow="0" w:firstColumn="1" w:lastColumn="0" w:noHBand="0" w:noVBand="0"/>
    </w:tblPr>
    <w:tblGrid>
      <w:gridCol w:w="1518"/>
      <w:gridCol w:w="7605"/>
    </w:tblGrid>
    <w:tr w:rsidR="00EE26C4" w:rsidTr="007922E4">
      <w:tc>
        <w:tcPr>
          <w:tcW w:w="1526" w:type="dxa"/>
        </w:tcPr>
        <w:p w:rsidR="00EE26C4" w:rsidRPr="007922E4" w:rsidRDefault="00EE26C4">
          <w:pPr>
            <w:rPr>
              <w:b/>
              <w:bCs/>
              <w:i w:val="0"/>
            </w:rPr>
          </w:pPr>
          <w:r w:rsidRPr="007922E4">
            <w:rPr>
              <w:b/>
              <w:bCs/>
              <w:i w:val="0"/>
              <w:sz w:val="22"/>
              <w:szCs w:val="22"/>
            </w:rPr>
            <w:t>PARA:</w:t>
          </w:r>
        </w:p>
      </w:tc>
      <w:tc>
        <w:tcPr>
          <w:tcW w:w="7737" w:type="dxa"/>
        </w:tcPr>
        <w:p w:rsidR="00EE26C4" w:rsidRDefault="00EE26C4" w:rsidP="00B46B43">
          <w:pPr>
            <w:jc w:val="both"/>
            <w:rPr>
              <w:b/>
              <w:bCs/>
              <w:i w:val="0"/>
            </w:rPr>
          </w:pPr>
          <w:r>
            <w:rPr>
              <w:b/>
              <w:bCs/>
              <w:i w:val="0"/>
              <w:sz w:val="22"/>
              <w:szCs w:val="22"/>
            </w:rPr>
            <w:t>REPRESENTANTES LEGALES, MIEMBROS DE CONSEJOS DE ADMINISTRACIÓN O JUNTAS DIRECTIVAS   Y REVISORES FISCALES DE LAS ORGANIZACIONES DE LA ECONOMÍA SOLIDARIA VIGILADAS</w:t>
          </w:r>
          <w:r w:rsidR="005B1A0B">
            <w:rPr>
              <w:b/>
              <w:bCs/>
              <w:i w:val="0"/>
              <w:sz w:val="22"/>
              <w:szCs w:val="22"/>
            </w:rPr>
            <w:t xml:space="preserve"> </w:t>
          </w:r>
        </w:p>
        <w:p w:rsidR="00EE26C4" w:rsidRPr="007922E4" w:rsidRDefault="00EE26C4">
          <w:pPr>
            <w:rPr>
              <w:b/>
              <w:bCs/>
              <w:i w:val="0"/>
            </w:rPr>
          </w:pPr>
        </w:p>
      </w:tc>
    </w:tr>
    <w:tr w:rsidR="00EE26C4" w:rsidTr="007922E4">
      <w:tc>
        <w:tcPr>
          <w:tcW w:w="1526" w:type="dxa"/>
        </w:tcPr>
        <w:p w:rsidR="00EE26C4" w:rsidRPr="007922E4" w:rsidRDefault="00EE26C4">
          <w:pPr>
            <w:rPr>
              <w:b/>
              <w:bCs/>
              <w:i w:val="0"/>
            </w:rPr>
          </w:pPr>
          <w:r w:rsidRPr="007922E4">
            <w:rPr>
              <w:b/>
              <w:bCs/>
              <w:i w:val="0"/>
              <w:sz w:val="22"/>
              <w:szCs w:val="22"/>
            </w:rPr>
            <w:t>DE:</w:t>
          </w:r>
        </w:p>
      </w:tc>
      <w:tc>
        <w:tcPr>
          <w:tcW w:w="7737" w:type="dxa"/>
        </w:tcPr>
        <w:p w:rsidR="00EE26C4" w:rsidRDefault="00EE26C4">
          <w:pPr>
            <w:rPr>
              <w:b/>
              <w:bCs/>
              <w:i w:val="0"/>
              <w:sz w:val="22"/>
              <w:szCs w:val="22"/>
            </w:rPr>
          </w:pPr>
          <w:r>
            <w:rPr>
              <w:b/>
              <w:bCs/>
              <w:i w:val="0"/>
              <w:sz w:val="22"/>
              <w:szCs w:val="22"/>
            </w:rPr>
            <w:t>SUPERINTENDENTE</w:t>
          </w:r>
        </w:p>
        <w:p w:rsidR="00EE26C4" w:rsidRPr="007922E4" w:rsidRDefault="00EE26C4">
          <w:pPr>
            <w:rPr>
              <w:b/>
              <w:bCs/>
              <w:i w:val="0"/>
            </w:rPr>
          </w:pPr>
        </w:p>
      </w:tc>
    </w:tr>
    <w:tr w:rsidR="00EE26C4" w:rsidTr="007922E4">
      <w:tc>
        <w:tcPr>
          <w:tcW w:w="1526" w:type="dxa"/>
        </w:tcPr>
        <w:p w:rsidR="00EE26C4" w:rsidRPr="007922E4" w:rsidRDefault="00EE26C4">
          <w:pPr>
            <w:rPr>
              <w:b/>
              <w:bCs/>
              <w:i w:val="0"/>
            </w:rPr>
          </w:pPr>
          <w:r w:rsidRPr="007922E4">
            <w:rPr>
              <w:b/>
              <w:bCs/>
              <w:i w:val="0"/>
              <w:sz w:val="22"/>
              <w:szCs w:val="22"/>
            </w:rPr>
            <w:t>ASUNTO:</w:t>
          </w:r>
        </w:p>
      </w:tc>
      <w:tc>
        <w:tcPr>
          <w:tcW w:w="7737" w:type="dxa"/>
        </w:tcPr>
        <w:p w:rsidR="00EE26C4" w:rsidRDefault="005B1A0B" w:rsidP="00B46B43">
          <w:pPr>
            <w:jc w:val="both"/>
            <w:rPr>
              <w:b/>
              <w:bCs/>
              <w:i w:val="0"/>
              <w:sz w:val="22"/>
              <w:szCs w:val="22"/>
            </w:rPr>
          </w:pPr>
          <w:r>
            <w:rPr>
              <w:b/>
              <w:bCs/>
              <w:i w:val="0"/>
              <w:sz w:val="22"/>
              <w:szCs w:val="22"/>
            </w:rPr>
            <w:t xml:space="preserve">INSTRUCCIONES RELATIVAS AL </w:t>
          </w:r>
          <w:r w:rsidR="00BE520E">
            <w:rPr>
              <w:b/>
              <w:bCs/>
              <w:i w:val="0"/>
              <w:sz w:val="22"/>
              <w:szCs w:val="22"/>
            </w:rPr>
            <w:t>TRATAMIENTO DE LA PARTIDA “EXCEDENTES ACUMULADOS”</w:t>
          </w:r>
        </w:p>
        <w:p w:rsidR="00EE26C4" w:rsidRPr="007922E4" w:rsidRDefault="00EE26C4">
          <w:pPr>
            <w:rPr>
              <w:b/>
              <w:bCs/>
              <w:i w:val="0"/>
            </w:rPr>
          </w:pPr>
        </w:p>
      </w:tc>
    </w:tr>
    <w:tr w:rsidR="00EE26C4" w:rsidTr="007922E4">
      <w:tc>
        <w:tcPr>
          <w:tcW w:w="1526" w:type="dxa"/>
        </w:tcPr>
        <w:p w:rsidR="00EE26C4" w:rsidRPr="007922E4" w:rsidRDefault="00EE26C4">
          <w:pPr>
            <w:rPr>
              <w:b/>
              <w:bCs/>
              <w:i w:val="0"/>
            </w:rPr>
          </w:pPr>
          <w:r w:rsidRPr="007922E4">
            <w:rPr>
              <w:b/>
              <w:bCs/>
              <w:i w:val="0"/>
              <w:sz w:val="22"/>
              <w:szCs w:val="22"/>
            </w:rPr>
            <w:t>FECHA:</w:t>
          </w:r>
        </w:p>
      </w:tc>
      <w:tc>
        <w:tcPr>
          <w:tcW w:w="7737" w:type="dxa"/>
        </w:tcPr>
        <w:p w:rsidR="00EE26C4" w:rsidRPr="007922E4" w:rsidRDefault="00EE26C4">
          <w:pPr>
            <w:rPr>
              <w:b/>
              <w:bCs/>
              <w:i w:val="0"/>
            </w:rPr>
          </w:pPr>
          <w:r w:rsidRPr="007922E4">
            <w:rPr>
              <w:b/>
              <w:bCs/>
              <w:i w:val="0"/>
              <w:sz w:val="22"/>
              <w:szCs w:val="22"/>
            </w:rPr>
            <w:t xml:space="preserve">Bogotá D.C., </w:t>
          </w:r>
          <w:bookmarkStart w:id="3" w:name="fecassignedlong"/>
          <w:r w:rsidRPr="007922E4">
            <w:rPr>
              <w:b/>
              <w:bCs/>
              <w:i w:val="0"/>
              <w:sz w:val="22"/>
              <w:szCs w:val="22"/>
            </w:rPr>
            <w:t xml:space="preserve">  </w:t>
          </w:r>
          <w:bookmarkEnd w:id="3"/>
        </w:p>
      </w:tc>
    </w:tr>
  </w:tbl>
  <w:p w:rsidR="00EE26C4" w:rsidRDefault="00EE26C4">
    <w:pPr>
      <w:rPr>
        <w:b/>
        <w:bCs/>
        <w:i w:val="0"/>
      </w:rPr>
    </w:pPr>
  </w:p>
  <w:p w:rsidR="00EE26C4" w:rsidRDefault="00EE26C4">
    <w:pPr>
      <w:rPr>
        <w:b/>
        <w:bCs/>
        <w:i w:val="0"/>
        <w:sz w:val="22"/>
        <w:szCs w:val="22"/>
      </w:rPr>
    </w:pPr>
    <w:r>
      <w:rPr>
        <w:noProof/>
        <w:lang w:eastAsia="es-CO"/>
      </w:rPr>
      <mc:AlternateContent>
        <mc:Choice Requires="wps">
          <w:drawing>
            <wp:anchor distT="0" distB="0" distL="114300" distR="114300" simplePos="0" relativeHeight="251655168" behindDoc="0" locked="0" layoutInCell="1" allowOverlap="1" wp14:anchorId="56E61AFE" wp14:editId="54A6713E">
              <wp:simplePos x="0" y="0"/>
              <wp:positionH relativeFrom="column">
                <wp:posOffset>9525</wp:posOffset>
              </wp:positionH>
              <wp:positionV relativeFrom="paragraph">
                <wp:posOffset>71120</wp:posOffset>
              </wp:positionV>
              <wp:extent cx="5638800" cy="0"/>
              <wp:effectExtent l="28575" t="33020" r="28575" b="33655"/>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4C60A"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6pt" to="444.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" strokeweight="4.5pt">
              <v:stroke linestyle="thinThick"/>
              <w10:wrap type="topAndBottom"/>
            </v:line>
          </w:pict>
        </mc:Fallback>
      </mc:AlternateContent>
    </w:r>
  </w:p>
  <w:p w:rsidR="00EE26C4" w:rsidRDefault="00EE26C4" w:rsidP="007B0A34">
    <w:pP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19D83AED"/>
    <w:multiLevelType w:val="hybridMultilevel"/>
    <w:tmpl w:val="7DC8EBE0"/>
    <w:lvl w:ilvl="0" w:tplc="DA6C1568">
      <w:numFmt w:val="bullet"/>
      <w:lvlText w:val="-"/>
      <w:lvlJc w:val="left"/>
      <w:pPr>
        <w:tabs>
          <w:tab w:val="num" w:pos="600"/>
        </w:tabs>
        <w:ind w:left="600" w:hanging="360"/>
      </w:pPr>
      <w:rPr>
        <w:rFonts w:ascii="Arial" w:eastAsia="Times New Roman" w:hAnsi="Arial" w:hint="default"/>
      </w:rPr>
    </w:lvl>
    <w:lvl w:ilvl="1" w:tplc="0C0A0003" w:tentative="1">
      <w:start w:val="1"/>
      <w:numFmt w:val="bullet"/>
      <w:lvlText w:val="o"/>
      <w:lvlJc w:val="left"/>
      <w:pPr>
        <w:tabs>
          <w:tab w:val="num" w:pos="1320"/>
        </w:tabs>
        <w:ind w:left="1320" w:hanging="360"/>
      </w:pPr>
      <w:rPr>
        <w:rFonts w:ascii="Courier New" w:hAnsi="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abstractNum w:abstractNumId="2" w15:restartNumberingAfterBreak="0">
    <w:nsid w:val="1AD75F65"/>
    <w:multiLevelType w:val="multilevel"/>
    <w:tmpl w:val="3E78EA7A"/>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 w15:restartNumberingAfterBreak="0">
    <w:nsid w:val="42480676"/>
    <w:multiLevelType w:val="hybridMultilevel"/>
    <w:tmpl w:val="1CB6B64E"/>
    <w:lvl w:ilvl="0" w:tplc="72EC4C80">
      <w:start w:val="2"/>
      <w:numFmt w:val="bullet"/>
      <w:lvlText w:val=""/>
      <w:lvlJc w:val="left"/>
      <w:pPr>
        <w:ind w:left="720" w:hanging="360"/>
      </w:pPr>
      <w:rPr>
        <w:rFonts w:ascii="Symbol" w:eastAsia="Times New Roman"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50D42CF3"/>
    <w:multiLevelType w:val="hybridMultilevel"/>
    <w:tmpl w:val="210E991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5937533E"/>
    <w:multiLevelType w:val="hybridMultilevel"/>
    <w:tmpl w:val="4DF413A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41A"/>
    <w:rsid w:val="0001093F"/>
    <w:rsid w:val="000315A7"/>
    <w:rsid w:val="00070BC6"/>
    <w:rsid w:val="00090BFD"/>
    <w:rsid w:val="0009535C"/>
    <w:rsid w:val="000977CF"/>
    <w:rsid w:val="000B2882"/>
    <w:rsid w:val="000B64D1"/>
    <w:rsid w:val="000B7130"/>
    <w:rsid w:val="000D7EBF"/>
    <w:rsid w:val="000E2344"/>
    <w:rsid w:val="000F7FD7"/>
    <w:rsid w:val="001130DC"/>
    <w:rsid w:val="00121AF9"/>
    <w:rsid w:val="0016084B"/>
    <w:rsid w:val="00165FF9"/>
    <w:rsid w:val="00183266"/>
    <w:rsid w:val="001B2992"/>
    <w:rsid w:val="001B44D3"/>
    <w:rsid w:val="001B6D00"/>
    <w:rsid w:val="001C65B7"/>
    <w:rsid w:val="001C7E8D"/>
    <w:rsid w:val="001D2B49"/>
    <w:rsid w:val="00203587"/>
    <w:rsid w:val="00207F86"/>
    <w:rsid w:val="002116E5"/>
    <w:rsid w:val="00215311"/>
    <w:rsid w:val="00221089"/>
    <w:rsid w:val="002473DF"/>
    <w:rsid w:val="0026227A"/>
    <w:rsid w:val="0026518F"/>
    <w:rsid w:val="002763FD"/>
    <w:rsid w:val="0028184C"/>
    <w:rsid w:val="00285323"/>
    <w:rsid w:val="002A7675"/>
    <w:rsid w:val="002B7FF5"/>
    <w:rsid w:val="00325A55"/>
    <w:rsid w:val="003433EA"/>
    <w:rsid w:val="003561D8"/>
    <w:rsid w:val="00356E72"/>
    <w:rsid w:val="003867F5"/>
    <w:rsid w:val="00390900"/>
    <w:rsid w:val="003B1C22"/>
    <w:rsid w:val="003D61CC"/>
    <w:rsid w:val="003E0BE1"/>
    <w:rsid w:val="003E3473"/>
    <w:rsid w:val="003E6DAB"/>
    <w:rsid w:val="004040A5"/>
    <w:rsid w:val="00420671"/>
    <w:rsid w:val="00430251"/>
    <w:rsid w:val="004418D6"/>
    <w:rsid w:val="00443985"/>
    <w:rsid w:val="00461C9B"/>
    <w:rsid w:val="004D23D7"/>
    <w:rsid w:val="004E2D05"/>
    <w:rsid w:val="004E5A04"/>
    <w:rsid w:val="004E7918"/>
    <w:rsid w:val="004F507D"/>
    <w:rsid w:val="004F5254"/>
    <w:rsid w:val="00507BF0"/>
    <w:rsid w:val="00522339"/>
    <w:rsid w:val="0053582B"/>
    <w:rsid w:val="00546DC4"/>
    <w:rsid w:val="005A7004"/>
    <w:rsid w:val="005B1A0B"/>
    <w:rsid w:val="005C3D7D"/>
    <w:rsid w:val="005E5D43"/>
    <w:rsid w:val="005F7295"/>
    <w:rsid w:val="006164C0"/>
    <w:rsid w:val="0063181B"/>
    <w:rsid w:val="0065307B"/>
    <w:rsid w:val="0067154D"/>
    <w:rsid w:val="00696F6D"/>
    <w:rsid w:val="006A4EE0"/>
    <w:rsid w:val="006B2104"/>
    <w:rsid w:val="007320B6"/>
    <w:rsid w:val="007428BE"/>
    <w:rsid w:val="00746055"/>
    <w:rsid w:val="00773ACA"/>
    <w:rsid w:val="007922E4"/>
    <w:rsid w:val="007B0A34"/>
    <w:rsid w:val="007B4800"/>
    <w:rsid w:val="007C178A"/>
    <w:rsid w:val="007F6590"/>
    <w:rsid w:val="0083599F"/>
    <w:rsid w:val="008563F9"/>
    <w:rsid w:val="00857C4C"/>
    <w:rsid w:val="008731A8"/>
    <w:rsid w:val="0089255C"/>
    <w:rsid w:val="0089301F"/>
    <w:rsid w:val="0089332D"/>
    <w:rsid w:val="008D7F6A"/>
    <w:rsid w:val="009031D3"/>
    <w:rsid w:val="009126D4"/>
    <w:rsid w:val="00921409"/>
    <w:rsid w:val="00924A90"/>
    <w:rsid w:val="009822A3"/>
    <w:rsid w:val="0098441A"/>
    <w:rsid w:val="009E1BA9"/>
    <w:rsid w:val="00A04A27"/>
    <w:rsid w:val="00A06A31"/>
    <w:rsid w:val="00A07251"/>
    <w:rsid w:val="00A2658D"/>
    <w:rsid w:val="00A379A5"/>
    <w:rsid w:val="00A7799E"/>
    <w:rsid w:val="00A87062"/>
    <w:rsid w:val="00AF3963"/>
    <w:rsid w:val="00B05AEE"/>
    <w:rsid w:val="00B24F0E"/>
    <w:rsid w:val="00B46B43"/>
    <w:rsid w:val="00B62C65"/>
    <w:rsid w:val="00B74413"/>
    <w:rsid w:val="00BA5174"/>
    <w:rsid w:val="00BE520E"/>
    <w:rsid w:val="00BF2E80"/>
    <w:rsid w:val="00BF3309"/>
    <w:rsid w:val="00BF4A5A"/>
    <w:rsid w:val="00C45FEF"/>
    <w:rsid w:val="00C75ADB"/>
    <w:rsid w:val="00C94682"/>
    <w:rsid w:val="00CA55A0"/>
    <w:rsid w:val="00CB63C6"/>
    <w:rsid w:val="00CF0587"/>
    <w:rsid w:val="00D051CE"/>
    <w:rsid w:val="00D26B21"/>
    <w:rsid w:val="00D8128D"/>
    <w:rsid w:val="00DF76C6"/>
    <w:rsid w:val="00E10B72"/>
    <w:rsid w:val="00E17C51"/>
    <w:rsid w:val="00E667D7"/>
    <w:rsid w:val="00E7790F"/>
    <w:rsid w:val="00EA5446"/>
    <w:rsid w:val="00EB7284"/>
    <w:rsid w:val="00EC4FE9"/>
    <w:rsid w:val="00EE26C4"/>
    <w:rsid w:val="00F14086"/>
    <w:rsid w:val="00F17C17"/>
    <w:rsid w:val="00F3485A"/>
    <w:rsid w:val="00F40397"/>
    <w:rsid w:val="00F46734"/>
    <w:rsid w:val="00F50CD7"/>
    <w:rsid w:val="00F92854"/>
    <w:rsid w:val="00FA17E0"/>
    <w:rsid w:val="00FA2E8D"/>
    <w:rsid w:val="00FC1777"/>
    <w:rsid w:val="00FD757D"/>
    <w:rsid w:val="00FE2679"/>
    <w:rsid w:val="00FE665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9249CD7-0EFE-46A1-B6B4-E528AC17B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F6D"/>
    <w:pPr>
      <w:suppressAutoHyphens/>
    </w:pPr>
    <w:rPr>
      <w:rFonts w:ascii="Arial" w:hAnsi="Arial" w:cs="Arial"/>
      <w:i/>
      <w:sz w:val="24"/>
      <w:szCs w:val="24"/>
      <w:lang w:eastAsia="ar-SA"/>
    </w:rPr>
  </w:style>
  <w:style w:type="paragraph" w:styleId="Ttulo1">
    <w:name w:val="heading 1"/>
    <w:basedOn w:val="Normal"/>
    <w:next w:val="Normal"/>
    <w:link w:val="Ttulo1Car"/>
    <w:uiPriority w:val="99"/>
    <w:qFormat/>
    <w:rsid w:val="00696F6D"/>
    <w:pPr>
      <w:keepNext/>
      <w:tabs>
        <w:tab w:val="num" w:pos="0"/>
      </w:tabs>
      <w:outlineLvl w:val="0"/>
    </w:pPr>
    <w:rPr>
      <w:b/>
      <w:bCs/>
      <w:i w:val="0"/>
      <w:iCs/>
    </w:rPr>
  </w:style>
  <w:style w:type="paragraph" w:styleId="Ttulo2">
    <w:name w:val="heading 2"/>
    <w:basedOn w:val="Normal"/>
    <w:next w:val="Normal"/>
    <w:link w:val="Ttulo2Car"/>
    <w:uiPriority w:val="99"/>
    <w:qFormat/>
    <w:rsid w:val="00696F6D"/>
    <w:pPr>
      <w:keepNext/>
      <w:tabs>
        <w:tab w:val="num" w:pos="0"/>
      </w:tabs>
      <w:jc w:val="both"/>
      <w:outlineLvl w:val="1"/>
    </w:pPr>
    <w:rPr>
      <w:b/>
      <w:bCs/>
      <w:i w:val="0"/>
      <w:iCs/>
    </w:rPr>
  </w:style>
  <w:style w:type="paragraph" w:styleId="Ttulo3">
    <w:name w:val="heading 3"/>
    <w:basedOn w:val="Normal"/>
    <w:next w:val="Normal"/>
    <w:link w:val="Ttulo3Car"/>
    <w:uiPriority w:val="99"/>
    <w:qFormat/>
    <w:rsid w:val="00696F6D"/>
    <w:pPr>
      <w:keepNext/>
      <w:tabs>
        <w:tab w:val="num" w:pos="0"/>
      </w:tabs>
      <w:outlineLvl w:val="2"/>
    </w:pPr>
    <w:rPr>
      <w:b/>
      <w:bCs/>
      <w:i w:val="0"/>
      <w:iCs/>
      <w:sz w:val="22"/>
    </w:rPr>
  </w:style>
  <w:style w:type="paragraph" w:styleId="Ttulo4">
    <w:name w:val="heading 4"/>
    <w:basedOn w:val="Normal"/>
    <w:next w:val="Normal"/>
    <w:link w:val="Ttulo4Car"/>
    <w:uiPriority w:val="99"/>
    <w:qFormat/>
    <w:rsid w:val="00696F6D"/>
    <w:pPr>
      <w:keepNext/>
      <w:tabs>
        <w:tab w:val="num" w:pos="0"/>
      </w:tabs>
      <w:jc w:val="both"/>
      <w:outlineLvl w:val="3"/>
    </w:pPr>
    <w:rPr>
      <w:rFonts w:ascii="Tahoma" w:hAnsi="Tahoma" w:cs="Tahoma"/>
      <w:b/>
      <w:bCs/>
      <w:i w:val="0"/>
    </w:rPr>
  </w:style>
  <w:style w:type="paragraph" w:styleId="Ttulo5">
    <w:name w:val="heading 5"/>
    <w:basedOn w:val="Normal"/>
    <w:next w:val="Normal"/>
    <w:link w:val="Ttulo5Car"/>
    <w:uiPriority w:val="99"/>
    <w:qFormat/>
    <w:rsid w:val="00696F6D"/>
    <w:pPr>
      <w:keepNext/>
      <w:tabs>
        <w:tab w:val="num" w:pos="0"/>
      </w:tabs>
      <w:jc w:val="both"/>
      <w:outlineLvl w:val="4"/>
    </w:pPr>
  </w:style>
  <w:style w:type="paragraph" w:styleId="Ttulo6">
    <w:name w:val="heading 6"/>
    <w:basedOn w:val="Normal"/>
    <w:next w:val="Normal"/>
    <w:link w:val="Ttulo6Car"/>
    <w:uiPriority w:val="99"/>
    <w:qFormat/>
    <w:rsid w:val="00696F6D"/>
    <w:pPr>
      <w:keepNext/>
      <w:tabs>
        <w:tab w:val="num" w:pos="0"/>
      </w:tabs>
      <w:jc w:val="center"/>
      <w:outlineLvl w:val="5"/>
    </w:pPr>
    <w:rPr>
      <w:b/>
      <w:bCs/>
      <w:i w:val="0"/>
    </w:rPr>
  </w:style>
  <w:style w:type="paragraph" w:styleId="Ttulo7">
    <w:name w:val="heading 7"/>
    <w:basedOn w:val="Normal"/>
    <w:next w:val="Normal"/>
    <w:link w:val="Ttulo7Car"/>
    <w:uiPriority w:val="99"/>
    <w:qFormat/>
    <w:rsid w:val="00696F6D"/>
    <w:pPr>
      <w:keepNext/>
      <w:tabs>
        <w:tab w:val="num" w:pos="0"/>
      </w:tabs>
      <w:outlineLvl w:val="6"/>
    </w:pPr>
    <w:rPr>
      <w:b/>
      <w:bCs/>
      <w:i w:val="0"/>
      <w:iCs/>
      <w:sz w:val="16"/>
    </w:rPr>
  </w:style>
  <w:style w:type="paragraph" w:styleId="Ttulo8">
    <w:name w:val="heading 8"/>
    <w:basedOn w:val="Normal"/>
    <w:next w:val="Normal"/>
    <w:link w:val="Ttulo8Car"/>
    <w:uiPriority w:val="99"/>
    <w:qFormat/>
    <w:rsid w:val="00696F6D"/>
    <w:pPr>
      <w:keepNext/>
      <w:tabs>
        <w:tab w:val="num" w:pos="0"/>
      </w:tabs>
      <w:jc w:val="both"/>
      <w:outlineLvl w:val="7"/>
    </w:pPr>
    <w:rPr>
      <w:b/>
      <w:bCs/>
      <w:i w:val="0"/>
      <w:iCs/>
      <w:sz w:val="22"/>
    </w:rPr>
  </w:style>
  <w:style w:type="paragraph" w:styleId="Ttulo9">
    <w:name w:val="heading 9"/>
    <w:basedOn w:val="Normal"/>
    <w:next w:val="Normal"/>
    <w:link w:val="Ttulo9Car"/>
    <w:uiPriority w:val="99"/>
    <w:qFormat/>
    <w:rsid w:val="00696F6D"/>
    <w:pPr>
      <w:keepNext/>
      <w:tabs>
        <w:tab w:val="num" w:pos="0"/>
      </w:tabs>
      <w:outlineLvl w:val="8"/>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Pr>
      <w:rFonts w:ascii="Cambria" w:hAnsi="Cambria" w:cs="Times New Roman"/>
      <w:b/>
      <w:bCs/>
      <w:i/>
      <w:kern w:val="32"/>
      <w:sz w:val="32"/>
      <w:szCs w:val="32"/>
      <w:lang w:val="es-CO" w:eastAsia="ar-SA" w:bidi="ar-SA"/>
    </w:rPr>
  </w:style>
  <w:style w:type="character" w:customStyle="1" w:styleId="Ttulo2Car">
    <w:name w:val="Título 2 Car"/>
    <w:link w:val="Ttulo2"/>
    <w:uiPriority w:val="99"/>
    <w:semiHidden/>
    <w:locked/>
    <w:rPr>
      <w:rFonts w:ascii="Cambria" w:hAnsi="Cambria" w:cs="Times New Roman"/>
      <w:b/>
      <w:bCs/>
      <w:iCs/>
      <w:sz w:val="28"/>
      <w:szCs w:val="28"/>
      <w:lang w:val="es-CO" w:eastAsia="ar-SA" w:bidi="ar-SA"/>
    </w:rPr>
  </w:style>
  <w:style w:type="character" w:customStyle="1" w:styleId="Ttulo3Car">
    <w:name w:val="Título 3 Car"/>
    <w:link w:val="Ttulo3"/>
    <w:uiPriority w:val="99"/>
    <w:semiHidden/>
    <w:locked/>
    <w:rPr>
      <w:rFonts w:ascii="Cambria" w:hAnsi="Cambria" w:cs="Times New Roman"/>
      <w:b/>
      <w:bCs/>
      <w:i/>
      <w:sz w:val="26"/>
      <w:szCs w:val="26"/>
      <w:lang w:val="es-CO" w:eastAsia="ar-SA" w:bidi="ar-SA"/>
    </w:rPr>
  </w:style>
  <w:style w:type="character" w:customStyle="1" w:styleId="Ttulo4Car">
    <w:name w:val="Título 4 Car"/>
    <w:link w:val="Ttulo4"/>
    <w:uiPriority w:val="99"/>
    <w:semiHidden/>
    <w:locked/>
    <w:rPr>
      <w:rFonts w:ascii="Calibri" w:hAnsi="Calibri" w:cs="Times New Roman"/>
      <w:b/>
      <w:bCs/>
      <w:i/>
      <w:sz w:val="28"/>
      <w:szCs w:val="28"/>
      <w:lang w:val="es-CO" w:eastAsia="ar-SA" w:bidi="ar-SA"/>
    </w:rPr>
  </w:style>
  <w:style w:type="character" w:customStyle="1" w:styleId="Ttulo5Car">
    <w:name w:val="Título 5 Car"/>
    <w:link w:val="Ttulo5"/>
    <w:uiPriority w:val="99"/>
    <w:semiHidden/>
    <w:locked/>
    <w:rPr>
      <w:rFonts w:ascii="Calibri" w:hAnsi="Calibri" w:cs="Times New Roman"/>
      <w:b/>
      <w:bCs/>
      <w:i/>
      <w:iCs/>
      <w:sz w:val="26"/>
      <w:szCs w:val="26"/>
      <w:lang w:val="es-CO" w:eastAsia="ar-SA" w:bidi="ar-SA"/>
    </w:rPr>
  </w:style>
  <w:style w:type="character" w:customStyle="1" w:styleId="Ttulo6Car">
    <w:name w:val="Título 6 Car"/>
    <w:link w:val="Ttulo6"/>
    <w:uiPriority w:val="99"/>
    <w:semiHidden/>
    <w:locked/>
    <w:rPr>
      <w:rFonts w:ascii="Calibri" w:hAnsi="Calibri" w:cs="Times New Roman"/>
      <w:b/>
      <w:bCs/>
      <w:i/>
      <w:lang w:val="es-CO" w:eastAsia="ar-SA" w:bidi="ar-SA"/>
    </w:rPr>
  </w:style>
  <w:style w:type="character" w:customStyle="1" w:styleId="Ttulo7Car">
    <w:name w:val="Título 7 Car"/>
    <w:link w:val="Ttulo7"/>
    <w:uiPriority w:val="99"/>
    <w:semiHidden/>
    <w:locked/>
    <w:rPr>
      <w:rFonts w:ascii="Calibri" w:hAnsi="Calibri" w:cs="Times New Roman"/>
      <w:i/>
      <w:sz w:val="24"/>
      <w:szCs w:val="24"/>
      <w:lang w:val="es-CO" w:eastAsia="ar-SA" w:bidi="ar-SA"/>
    </w:rPr>
  </w:style>
  <w:style w:type="character" w:customStyle="1" w:styleId="Ttulo8Car">
    <w:name w:val="Título 8 Car"/>
    <w:link w:val="Ttulo8"/>
    <w:uiPriority w:val="99"/>
    <w:semiHidden/>
    <w:locked/>
    <w:rPr>
      <w:rFonts w:ascii="Calibri" w:hAnsi="Calibri" w:cs="Times New Roman"/>
      <w:iCs/>
      <w:sz w:val="24"/>
      <w:szCs w:val="24"/>
      <w:lang w:val="es-CO" w:eastAsia="ar-SA" w:bidi="ar-SA"/>
    </w:rPr>
  </w:style>
  <w:style w:type="character" w:customStyle="1" w:styleId="Ttulo9Car">
    <w:name w:val="Título 9 Car"/>
    <w:link w:val="Ttulo9"/>
    <w:uiPriority w:val="99"/>
    <w:semiHidden/>
    <w:locked/>
    <w:rPr>
      <w:rFonts w:ascii="Cambria" w:hAnsi="Cambria" w:cs="Times New Roman"/>
      <w:i/>
      <w:lang w:val="es-CO" w:eastAsia="ar-SA" w:bidi="ar-SA"/>
    </w:rPr>
  </w:style>
  <w:style w:type="character" w:customStyle="1" w:styleId="Fuentedeprrafopredeter2">
    <w:name w:val="Fuente de párrafo predeter.2"/>
    <w:uiPriority w:val="99"/>
    <w:rsid w:val="00696F6D"/>
  </w:style>
  <w:style w:type="character" w:customStyle="1" w:styleId="Fuentedeprrafopredeter1">
    <w:name w:val="Fuente de párrafo predeter.1"/>
    <w:uiPriority w:val="99"/>
    <w:rsid w:val="00696F6D"/>
  </w:style>
  <w:style w:type="character" w:styleId="Hipervnculo">
    <w:name w:val="Hyperlink"/>
    <w:uiPriority w:val="99"/>
    <w:rsid w:val="00696F6D"/>
    <w:rPr>
      <w:rFonts w:cs="Times New Roman"/>
      <w:color w:val="0000FF"/>
      <w:u w:val="single"/>
    </w:rPr>
  </w:style>
  <w:style w:type="character" w:styleId="Hipervnculovisitado">
    <w:name w:val="FollowedHyperlink"/>
    <w:uiPriority w:val="99"/>
    <w:rsid w:val="00696F6D"/>
    <w:rPr>
      <w:rFonts w:cs="Times New Roman"/>
      <w:color w:val="800080"/>
      <w:u w:val="single"/>
    </w:rPr>
  </w:style>
  <w:style w:type="character" w:styleId="Nmerodepgina">
    <w:name w:val="page number"/>
    <w:uiPriority w:val="99"/>
    <w:rsid w:val="00696F6D"/>
    <w:rPr>
      <w:rFonts w:cs="Times New Roman"/>
    </w:rPr>
  </w:style>
  <w:style w:type="paragraph" w:customStyle="1" w:styleId="Encabezado2">
    <w:name w:val="Encabezado2"/>
    <w:basedOn w:val="Normal"/>
    <w:next w:val="Textoindependiente"/>
    <w:uiPriority w:val="99"/>
    <w:rsid w:val="00696F6D"/>
    <w:pPr>
      <w:keepNext/>
      <w:spacing w:before="240" w:after="120"/>
    </w:pPr>
    <w:rPr>
      <w:rFonts w:cs="Tahoma"/>
      <w:sz w:val="28"/>
      <w:szCs w:val="28"/>
    </w:rPr>
  </w:style>
  <w:style w:type="paragraph" w:styleId="Textoindependiente">
    <w:name w:val="Body Text"/>
    <w:basedOn w:val="Normal"/>
    <w:link w:val="TextoindependienteCar"/>
    <w:uiPriority w:val="99"/>
    <w:rsid w:val="00696F6D"/>
    <w:pPr>
      <w:jc w:val="both"/>
    </w:pPr>
    <w:rPr>
      <w:i w:val="0"/>
      <w:iCs/>
    </w:rPr>
  </w:style>
  <w:style w:type="character" w:customStyle="1" w:styleId="TextoindependienteCar">
    <w:name w:val="Texto independiente Car"/>
    <w:link w:val="Textoindependiente"/>
    <w:uiPriority w:val="99"/>
    <w:semiHidden/>
    <w:locked/>
    <w:rPr>
      <w:rFonts w:ascii="Arial" w:hAnsi="Arial" w:cs="Arial"/>
      <w:i/>
      <w:sz w:val="24"/>
      <w:szCs w:val="24"/>
      <w:lang w:val="es-CO" w:eastAsia="ar-SA" w:bidi="ar-SA"/>
    </w:rPr>
  </w:style>
  <w:style w:type="paragraph" w:styleId="Lista">
    <w:name w:val="List"/>
    <w:basedOn w:val="Textoindependiente"/>
    <w:uiPriority w:val="99"/>
    <w:rsid w:val="00696F6D"/>
    <w:rPr>
      <w:rFonts w:cs="Tahoma"/>
    </w:rPr>
  </w:style>
  <w:style w:type="paragraph" w:customStyle="1" w:styleId="Etiqueta">
    <w:name w:val="Etiqueta"/>
    <w:basedOn w:val="Normal"/>
    <w:uiPriority w:val="99"/>
    <w:rsid w:val="00696F6D"/>
    <w:pPr>
      <w:suppressLineNumbers/>
      <w:spacing w:before="120" w:after="120"/>
    </w:pPr>
    <w:rPr>
      <w:rFonts w:cs="Tahoma"/>
      <w:iCs/>
    </w:rPr>
  </w:style>
  <w:style w:type="paragraph" w:customStyle="1" w:styleId="ndice">
    <w:name w:val="Índice"/>
    <w:basedOn w:val="Normal"/>
    <w:uiPriority w:val="99"/>
    <w:rsid w:val="00696F6D"/>
    <w:pPr>
      <w:suppressLineNumbers/>
    </w:pPr>
    <w:rPr>
      <w:rFonts w:cs="Tahoma"/>
    </w:rPr>
  </w:style>
  <w:style w:type="paragraph" w:customStyle="1" w:styleId="Encabezado1">
    <w:name w:val="Encabezado1"/>
    <w:basedOn w:val="Normal"/>
    <w:next w:val="Textoindependiente"/>
    <w:uiPriority w:val="99"/>
    <w:rsid w:val="00696F6D"/>
    <w:pPr>
      <w:keepNext/>
      <w:spacing w:before="240" w:after="120"/>
    </w:pPr>
    <w:rPr>
      <w:rFonts w:cs="Tahoma"/>
      <w:sz w:val="28"/>
      <w:szCs w:val="28"/>
    </w:rPr>
  </w:style>
  <w:style w:type="paragraph" w:styleId="Direccinsobre">
    <w:name w:val="envelope address"/>
    <w:basedOn w:val="Normal"/>
    <w:uiPriority w:val="99"/>
    <w:rsid w:val="00696F6D"/>
    <w:pPr>
      <w:ind w:left="2880"/>
    </w:pPr>
    <w:rPr>
      <w:rFonts w:ascii="Monotype Corsiva" w:hAnsi="Monotype Corsiva"/>
      <w:b/>
      <w:i w:val="0"/>
      <w:sz w:val="36"/>
    </w:rPr>
  </w:style>
  <w:style w:type="paragraph" w:customStyle="1" w:styleId="Textoindependiente21">
    <w:name w:val="Texto independiente 21"/>
    <w:basedOn w:val="Normal"/>
    <w:uiPriority w:val="99"/>
    <w:rsid w:val="00696F6D"/>
    <w:pPr>
      <w:jc w:val="both"/>
    </w:pPr>
    <w:rPr>
      <w:i w:val="0"/>
      <w:iCs/>
      <w:sz w:val="22"/>
    </w:rPr>
  </w:style>
  <w:style w:type="paragraph" w:styleId="Encabezado">
    <w:name w:val="header"/>
    <w:basedOn w:val="Normal"/>
    <w:link w:val="EncabezadoCar"/>
    <w:uiPriority w:val="99"/>
    <w:rsid w:val="00696F6D"/>
    <w:pPr>
      <w:tabs>
        <w:tab w:val="center" w:pos="4252"/>
        <w:tab w:val="right" w:pos="8504"/>
      </w:tabs>
    </w:pPr>
    <w:rPr>
      <w:rFonts w:cs="Times New Roman"/>
      <w:i w:val="0"/>
    </w:rPr>
  </w:style>
  <w:style w:type="character" w:customStyle="1" w:styleId="EncabezadoCar">
    <w:name w:val="Encabezado Car"/>
    <w:link w:val="Encabezado"/>
    <w:uiPriority w:val="99"/>
    <w:semiHidden/>
    <w:locked/>
    <w:rPr>
      <w:rFonts w:ascii="Arial" w:hAnsi="Arial" w:cs="Arial"/>
      <w:i/>
      <w:sz w:val="24"/>
      <w:szCs w:val="24"/>
      <w:lang w:val="es-CO" w:eastAsia="ar-SA" w:bidi="ar-SA"/>
    </w:rPr>
  </w:style>
  <w:style w:type="paragraph" w:styleId="Piedepgina">
    <w:name w:val="footer"/>
    <w:basedOn w:val="Normal"/>
    <w:link w:val="PiedepginaCar"/>
    <w:uiPriority w:val="99"/>
    <w:rsid w:val="00696F6D"/>
    <w:pPr>
      <w:tabs>
        <w:tab w:val="center" w:pos="4419"/>
        <w:tab w:val="right" w:pos="8838"/>
      </w:tabs>
    </w:pPr>
  </w:style>
  <w:style w:type="character" w:customStyle="1" w:styleId="PiedepginaCar">
    <w:name w:val="Pie de página Car"/>
    <w:link w:val="Piedepgina"/>
    <w:uiPriority w:val="99"/>
    <w:locked/>
    <w:rsid w:val="0009535C"/>
    <w:rPr>
      <w:rFonts w:ascii="Arial" w:hAnsi="Arial" w:cs="Arial"/>
      <w:i/>
      <w:sz w:val="24"/>
      <w:szCs w:val="24"/>
      <w:lang w:eastAsia="ar-SA" w:bidi="ar-SA"/>
    </w:rPr>
  </w:style>
  <w:style w:type="paragraph" w:styleId="Puesto">
    <w:name w:val="Title"/>
    <w:basedOn w:val="Normal"/>
    <w:next w:val="Subttulo"/>
    <w:link w:val="PuestoCar"/>
    <w:uiPriority w:val="99"/>
    <w:qFormat/>
    <w:rsid w:val="00696F6D"/>
    <w:pPr>
      <w:jc w:val="center"/>
    </w:pPr>
    <w:rPr>
      <w:b/>
      <w:bCs/>
      <w:i w:val="0"/>
    </w:rPr>
  </w:style>
  <w:style w:type="character" w:customStyle="1" w:styleId="PuestoCar">
    <w:name w:val="Puesto Car"/>
    <w:link w:val="Puesto"/>
    <w:uiPriority w:val="99"/>
    <w:locked/>
    <w:rPr>
      <w:rFonts w:ascii="Cambria" w:hAnsi="Cambria" w:cs="Times New Roman"/>
      <w:b/>
      <w:bCs/>
      <w:i/>
      <w:kern w:val="28"/>
      <w:sz w:val="32"/>
      <w:szCs w:val="32"/>
      <w:lang w:val="es-CO" w:eastAsia="ar-SA" w:bidi="ar-SA"/>
    </w:rPr>
  </w:style>
  <w:style w:type="paragraph" w:styleId="Subttulo">
    <w:name w:val="Subtitle"/>
    <w:basedOn w:val="Normal"/>
    <w:next w:val="Textoindependiente"/>
    <w:link w:val="SubttuloCar"/>
    <w:uiPriority w:val="99"/>
    <w:qFormat/>
    <w:rsid w:val="00696F6D"/>
    <w:pPr>
      <w:jc w:val="center"/>
    </w:pPr>
    <w:rPr>
      <w:rFonts w:ascii="Comic Sans MS" w:hAnsi="Comic Sans MS" w:cs="Times New Roman"/>
      <w:b/>
      <w:i w:val="0"/>
      <w:szCs w:val="20"/>
      <w:lang w:val="en-US"/>
    </w:rPr>
  </w:style>
  <w:style w:type="character" w:customStyle="1" w:styleId="SubttuloCar">
    <w:name w:val="Subtítulo Car"/>
    <w:link w:val="Subttulo"/>
    <w:uiPriority w:val="99"/>
    <w:locked/>
    <w:rPr>
      <w:rFonts w:ascii="Cambria" w:hAnsi="Cambria" w:cs="Times New Roman"/>
      <w:i/>
      <w:sz w:val="24"/>
      <w:szCs w:val="24"/>
      <w:lang w:val="es-CO" w:eastAsia="ar-SA" w:bidi="ar-SA"/>
    </w:rPr>
  </w:style>
  <w:style w:type="paragraph" w:styleId="Sangradetextonormal">
    <w:name w:val="Body Text Indent"/>
    <w:basedOn w:val="Normal"/>
    <w:link w:val="SangradetextonormalCar"/>
    <w:uiPriority w:val="99"/>
    <w:rsid w:val="00696F6D"/>
    <w:pPr>
      <w:ind w:left="720"/>
      <w:jc w:val="both"/>
    </w:pPr>
    <w:rPr>
      <w:i w:val="0"/>
      <w:iCs/>
    </w:rPr>
  </w:style>
  <w:style w:type="character" w:customStyle="1" w:styleId="SangradetextonormalCar">
    <w:name w:val="Sangría de texto normal Car"/>
    <w:link w:val="Sangradetextonormal"/>
    <w:uiPriority w:val="99"/>
    <w:semiHidden/>
    <w:locked/>
    <w:rPr>
      <w:rFonts w:ascii="Arial" w:hAnsi="Arial" w:cs="Arial"/>
      <w:i/>
      <w:sz w:val="24"/>
      <w:szCs w:val="24"/>
      <w:lang w:val="es-CO" w:eastAsia="ar-SA" w:bidi="ar-SA"/>
    </w:rPr>
  </w:style>
  <w:style w:type="paragraph" w:customStyle="1" w:styleId="Sangra2detindependiente1">
    <w:name w:val="Sangría 2 de t. independiente1"/>
    <w:basedOn w:val="Normal"/>
    <w:uiPriority w:val="99"/>
    <w:rsid w:val="00696F6D"/>
    <w:pPr>
      <w:ind w:left="2124" w:firstLine="708"/>
      <w:jc w:val="right"/>
    </w:pPr>
    <w:rPr>
      <w:i w:val="0"/>
    </w:rPr>
  </w:style>
  <w:style w:type="paragraph" w:customStyle="1" w:styleId="Sangra3detindependiente1">
    <w:name w:val="Sangría 3 de t. independiente1"/>
    <w:basedOn w:val="Normal"/>
    <w:uiPriority w:val="99"/>
    <w:rsid w:val="00696F6D"/>
    <w:pPr>
      <w:ind w:left="60"/>
      <w:jc w:val="both"/>
    </w:pPr>
    <w:rPr>
      <w:i w:val="0"/>
      <w:iCs/>
      <w:sz w:val="22"/>
    </w:rPr>
  </w:style>
  <w:style w:type="paragraph" w:customStyle="1" w:styleId="Textoindependiente31">
    <w:name w:val="Texto independiente 31"/>
    <w:basedOn w:val="Normal"/>
    <w:uiPriority w:val="99"/>
    <w:rsid w:val="00696F6D"/>
    <w:pPr>
      <w:jc w:val="both"/>
    </w:pPr>
    <w:rPr>
      <w:sz w:val="22"/>
    </w:rPr>
  </w:style>
  <w:style w:type="paragraph" w:customStyle="1" w:styleId="Saludo1">
    <w:name w:val="Saludo1"/>
    <w:basedOn w:val="Normal"/>
    <w:next w:val="Normal"/>
    <w:uiPriority w:val="99"/>
    <w:rsid w:val="00696F6D"/>
    <w:rPr>
      <w:rFonts w:cs="Times New Roman"/>
      <w:i w:val="0"/>
      <w:sz w:val="20"/>
      <w:szCs w:val="20"/>
      <w:lang w:val="es-ES"/>
    </w:rPr>
  </w:style>
  <w:style w:type="paragraph" w:customStyle="1" w:styleId="xl24">
    <w:name w:val="xl24"/>
    <w:basedOn w:val="Normal"/>
    <w:uiPriority w:val="99"/>
    <w:rsid w:val="00696F6D"/>
    <w:pPr>
      <w:pBdr>
        <w:top w:val="single" w:sz="8" w:space="0" w:color="000000"/>
        <w:left w:val="single" w:sz="8" w:space="0" w:color="000000"/>
      </w:pBdr>
      <w:spacing w:before="280" w:after="280"/>
      <w:jc w:val="center"/>
      <w:textAlignment w:val="top"/>
    </w:pPr>
    <w:rPr>
      <w:b/>
      <w:bCs/>
      <w:i w:val="0"/>
      <w:sz w:val="22"/>
      <w:szCs w:val="22"/>
      <w:lang w:val="es-ES"/>
    </w:rPr>
  </w:style>
  <w:style w:type="paragraph" w:customStyle="1" w:styleId="xl25">
    <w:name w:val="xl25"/>
    <w:basedOn w:val="Normal"/>
    <w:uiPriority w:val="99"/>
    <w:rsid w:val="00696F6D"/>
    <w:pPr>
      <w:pBdr>
        <w:top w:val="single" w:sz="8" w:space="0" w:color="000000"/>
      </w:pBdr>
      <w:spacing w:before="280" w:after="280"/>
      <w:jc w:val="center"/>
      <w:textAlignment w:val="top"/>
    </w:pPr>
    <w:rPr>
      <w:b/>
      <w:bCs/>
      <w:i w:val="0"/>
      <w:sz w:val="22"/>
      <w:szCs w:val="22"/>
      <w:lang w:val="es-ES"/>
    </w:rPr>
  </w:style>
  <w:style w:type="paragraph" w:customStyle="1" w:styleId="xl26">
    <w:name w:val="xl26"/>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7">
    <w:name w:val="xl27"/>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8">
    <w:name w:val="xl28"/>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9">
    <w:name w:val="xl29"/>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0">
    <w:name w:val="xl30"/>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1">
    <w:name w:val="xl31"/>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2">
    <w:name w:val="xl32"/>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3">
    <w:name w:val="xl33"/>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4">
    <w:name w:val="xl34"/>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5">
    <w:name w:val="xl35"/>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center"/>
      <w:textAlignment w:val="top"/>
    </w:pPr>
    <w:rPr>
      <w:b/>
      <w:bCs/>
      <w:i w:val="0"/>
      <w:sz w:val="22"/>
      <w:szCs w:val="22"/>
      <w:lang w:val="es-ES"/>
    </w:rPr>
  </w:style>
  <w:style w:type="paragraph" w:styleId="NormalWeb">
    <w:name w:val="Normal (Web)"/>
    <w:basedOn w:val="Normal"/>
    <w:uiPriority w:val="99"/>
    <w:rsid w:val="00696F6D"/>
    <w:pPr>
      <w:spacing w:before="280" w:after="280"/>
    </w:pPr>
    <w:rPr>
      <w:rFonts w:ascii="Arial Unicode MS" w:hAnsi="Arial Unicode MS" w:cs="Arial Unicode MS"/>
      <w:i w:val="0"/>
      <w:lang w:val="es-ES"/>
    </w:rPr>
  </w:style>
  <w:style w:type="paragraph" w:customStyle="1" w:styleId="Textodebloque1">
    <w:name w:val="Texto de bloque1"/>
    <w:basedOn w:val="Normal"/>
    <w:uiPriority w:val="99"/>
    <w:rsid w:val="00696F6D"/>
    <w:pPr>
      <w:widowControl w:val="0"/>
      <w:ind w:left="120" w:right="-160"/>
      <w:jc w:val="both"/>
    </w:pPr>
    <w:rPr>
      <w:bCs/>
      <w:i w:val="0"/>
      <w:sz w:val="22"/>
    </w:rPr>
  </w:style>
  <w:style w:type="paragraph" w:customStyle="1" w:styleId="Contenidodelmarco">
    <w:name w:val="Contenido del marco"/>
    <w:basedOn w:val="Textoindependiente"/>
    <w:uiPriority w:val="99"/>
    <w:rsid w:val="00696F6D"/>
  </w:style>
  <w:style w:type="paragraph" w:styleId="Textoindependiente2">
    <w:name w:val="Body Text 2"/>
    <w:basedOn w:val="Normal"/>
    <w:link w:val="Textoindependiente2Car"/>
    <w:uiPriority w:val="99"/>
    <w:rsid w:val="00696F6D"/>
    <w:pPr>
      <w:spacing w:after="120" w:line="480" w:lineRule="auto"/>
    </w:pPr>
  </w:style>
  <w:style w:type="character" w:customStyle="1" w:styleId="Textoindependiente2Car">
    <w:name w:val="Texto independiente 2 Car"/>
    <w:link w:val="Textoindependiente2"/>
    <w:uiPriority w:val="99"/>
    <w:semiHidden/>
    <w:locked/>
    <w:rPr>
      <w:rFonts w:ascii="Arial" w:hAnsi="Arial" w:cs="Arial"/>
      <w:i/>
      <w:sz w:val="24"/>
      <w:szCs w:val="24"/>
      <w:lang w:val="es-CO" w:eastAsia="ar-SA" w:bidi="ar-SA"/>
    </w:rPr>
  </w:style>
  <w:style w:type="character" w:styleId="Refdecomentario">
    <w:name w:val="annotation reference"/>
    <w:uiPriority w:val="99"/>
    <w:semiHidden/>
    <w:rsid w:val="00696F6D"/>
    <w:rPr>
      <w:rFonts w:cs="Times New Roman"/>
      <w:sz w:val="16"/>
      <w:szCs w:val="16"/>
    </w:rPr>
  </w:style>
  <w:style w:type="paragraph" w:styleId="Textocomentario">
    <w:name w:val="annotation text"/>
    <w:basedOn w:val="Normal"/>
    <w:link w:val="TextocomentarioCar"/>
    <w:uiPriority w:val="99"/>
    <w:semiHidden/>
    <w:rsid w:val="00696F6D"/>
    <w:rPr>
      <w:sz w:val="20"/>
      <w:szCs w:val="20"/>
    </w:rPr>
  </w:style>
  <w:style w:type="character" w:customStyle="1" w:styleId="TextocomentarioCar">
    <w:name w:val="Texto comentario Car"/>
    <w:link w:val="Textocomentario"/>
    <w:uiPriority w:val="99"/>
    <w:semiHidden/>
    <w:locked/>
    <w:rPr>
      <w:rFonts w:ascii="Arial" w:hAnsi="Arial" w:cs="Arial"/>
      <w:i/>
      <w:sz w:val="20"/>
      <w:szCs w:val="20"/>
      <w:lang w:val="es-CO" w:eastAsia="ar-SA" w:bidi="ar-SA"/>
    </w:rPr>
  </w:style>
  <w:style w:type="paragraph" w:customStyle="1" w:styleId="CommentSubject1">
    <w:name w:val="Comment Subject1"/>
    <w:basedOn w:val="Textocomentario"/>
    <w:next w:val="Textocomentario"/>
    <w:uiPriority w:val="99"/>
    <w:semiHidden/>
    <w:rsid w:val="00696F6D"/>
    <w:rPr>
      <w:b/>
      <w:bCs/>
    </w:rPr>
  </w:style>
  <w:style w:type="paragraph" w:customStyle="1" w:styleId="Textodeglobo1">
    <w:name w:val="Texto de globo1"/>
    <w:basedOn w:val="Normal"/>
    <w:uiPriority w:val="99"/>
    <w:semiHidden/>
    <w:rsid w:val="00696F6D"/>
    <w:rPr>
      <w:rFonts w:ascii="Tahoma" w:hAnsi="Tahoma" w:cs="Tahoma"/>
      <w:sz w:val="16"/>
      <w:szCs w:val="16"/>
    </w:rPr>
  </w:style>
  <w:style w:type="paragraph" w:customStyle="1" w:styleId="Estilo">
    <w:name w:val="Estilo"/>
    <w:basedOn w:val="Normal"/>
    <w:uiPriority w:val="99"/>
    <w:rsid w:val="00696F6D"/>
    <w:pPr>
      <w:suppressAutoHyphens w:val="0"/>
      <w:spacing w:after="160" w:line="240" w:lineRule="exact"/>
    </w:pPr>
    <w:rPr>
      <w:rFonts w:ascii="Verdana" w:hAnsi="Verdana" w:cs="Times New Roman"/>
      <w:i w:val="0"/>
      <w:sz w:val="20"/>
      <w:szCs w:val="20"/>
      <w:lang w:val="en-US" w:eastAsia="en-US"/>
    </w:rPr>
  </w:style>
  <w:style w:type="paragraph" w:styleId="Textodeglobo">
    <w:name w:val="Balloon Text"/>
    <w:basedOn w:val="Normal"/>
    <w:link w:val="TextodegloboCar"/>
    <w:uiPriority w:val="99"/>
    <w:rsid w:val="007428BE"/>
    <w:rPr>
      <w:rFonts w:ascii="Tahoma" w:hAnsi="Tahoma" w:cs="Tahoma"/>
      <w:sz w:val="16"/>
      <w:szCs w:val="16"/>
    </w:rPr>
  </w:style>
  <w:style w:type="character" w:customStyle="1" w:styleId="TextodegloboCar">
    <w:name w:val="Texto de globo Car"/>
    <w:link w:val="Textodeglobo"/>
    <w:uiPriority w:val="99"/>
    <w:locked/>
    <w:rsid w:val="007428BE"/>
    <w:rPr>
      <w:rFonts w:ascii="Tahoma" w:hAnsi="Tahoma" w:cs="Tahoma"/>
      <w:i/>
      <w:sz w:val="16"/>
      <w:szCs w:val="16"/>
      <w:lang w:val="es-CO" w:eastAsia="ar-SA" w:bidi="ar-SA"/>
    </w:rPr>
  </w:style>
  <w:style w:type="table" w:styleId="Tablaconcuadrcula">
    <w:name w:val="Table Grid"/>
    <w:basedOn w:val="Tablanormal"/>
    <w:rsid w:val="003D6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F0587"/>
    <w:pPr>
      <w:ind w:left="720"/>
      <w:contextualSpacing/>
    </w:pPr>
  </w:style>
  <w:style w:type="paragraph" w:customStyle="1" w:styleId="Default">
    <w:name w:val="Default"/>
    <w:rsid w:val="00CF0587"/>
    <w:pPr>
      <w:autoSpaceDE w:val="0"/>
      <w:autoSpaceDN w:val="0"/>
      <w:adjustRightInd w:val="0"/>
    </w:pPr>
    <w:rPr>
      <w:rFonts w:ascii="Arial" w:hAnsi="Arial" w:cs="Arial"/>
      <w:color w:val="000000"/>
      <w:sz w:val="24"/>
      <w:szCs w:val="24"/>
    </w:rPr>
  </w:style>
  <w:style w:type="paragraph" w:customStyle="1" w:styleId="CM3">
    <w:name w:val="CM3"/>
    <w:basedOn w:val="Default"/>
    <w:next w:val="Default"/>
    <w:uiPriority w:val="99"/>
    <w:rsid w:val="004E5A04"/>
    <w:rPr>
      <w:color w:val="auto"/>
    </w:rPr>
  </w:style>
  <w:style w:type="paragraph" w:customStyle="1" w:styleId="CM55">
    <w:name w:val="CM55"/>
    <w:basedOn w:val="Default"/>
    <w:next w:val="Default"/>
    <w:uiPriority w:val="99"/>
    <w:rsid w:val="004E5A04"/>
    <w:rPr>
      <w:color w:val="auto"/>
    </w:rPr>
  </w:style>
  <w:style w:type="paragraph" w:customStyle="1" w:styleId="CM1">
    <w:name w:val="CM1"/>
    <w:basedOn w:val="Default"/>
    <w:next w:val="Default"/>
    <w:uiPriority w:val="99"/>
    <w:rsid w:val="004E5A04"/>
    <w:rPr>
      <w:color w:val="auto"/>
    </w:rPr>
  </w:style>
  <w:style w:type="paragraph" w:customStyle="1" w:styleId="CM62">
    <w:name w:val="CM62"/>
    <w:basedOn w:val="Default"/>
    <w:next w:val="Default"/>
    <w:uiPriority w:val="99"/>
    <w:rsid w:val="004E5A04"/>
    <w:rPr>
      <w:color w:val="auto"/>
    </w:rPr>
  </w:style>
  <w:style w:type="paragraph" w:customStyle="1" w:styleId="CM66">
    <w:name w:val="CM66"/>
    <w:basedOn w:val="Default"/>
    <w:next w:val="Default"/>
    <w:uiPriority w:val="99"/>
    <w:rsid w:val="004E5A04"/>
    <w:rPr>
      <w:color w:val="auto"/>
    </w:rPr>
  </w:style>
  <w:style w:type="paragraph" w:customStyle="1" w:styleId="CM14">
    <w:name w:val="CM14"/>
    <w:basedOn w:val="Default"/>
    <w:next w:val="Default"/>
    <w:uiPriority w:val="99"/>
    <w:rsid w:val="004E5A04"/>
    <w:pPr>
      <w:spacing w:line="233" w:lineRule="atLeast"/>
    </w:pPr>
    <w:rPr>
      <w:color w:val="auto"/>
    </w:rPr>
  </w:style>
  <w:style w:type="paragraph" w:customStyle="1" w:styleId="CM57">
    <w:name w:val="CM57"/>
    <w:basedOn w:val="Default"/>
    <w:next w:val="Default"/>
    <w:uiPriority w:val="99"/>
    <w:rsid w:val="004E5A04"/>
    <w:rPr>
      <w:color w:val="auto"/>
    </w:rPr>
  </w:style>
  <w:style w:type="paragraph" w:customStyle="1" w:styleId="CM60">
    <w:name w:val="CM60"/>
    <w:basedOn w:val="Default"/>
    <w:next w:val="Default"/>
    <w:uiPriority w:val="99"/>
    <w:rsid w:val="004E5A04"/>
    <w:rPr>
      <w:color w:val="auto"/>
    </w:rPr>
  </w:style>
  <w:style w:type="paragraph" w:customStyle="1" w:styleId="CM58">
    <w:name w:val="CM58"/>
    <w:basedOn w:val="Default"/>
    <w:next w:val="Default"/>
    <w:uiPriority w:val="99"/>
    <w:rsid w:val="004E5A04"/>
    <w:rPr>
      <w:color w:val="auto"/>
    </w:rPr>
  </w:style>
  <w:style w:type="paragraph" w:styleId="Textonotapie">
    <w:name w:val="footnote text"/>
    <w:basedOn w:val="Normal"/>
    <w:link w:val="TextonotapieCar"/>
    <w:uiPriority w:val="99"/>
    <w:semiHidden/>
    <w:unhideWhenUsed/>
    <w:rsid w:val="00B24F0E"/>
    <w:rPr>
      <w:sz w:val="20"/>
      <w:szCs w:val="20"/>
    </w:rPr>
  </w:style>
  <w:style w:type="character" w:customStyle="1" w:styleId="TextonotapieCar">
    <w:name w:val="Texto nota pie Car"/>
    <w:basedOn w:val="Fuentedeprrafopredeter"/>
    <w:link w:val="Textonotapie"/>
    <w:uiPriority w:val="99"/>
    <w:semiHidden/>
    <w:rsid w:val="00B24F0E"/>
    <w:rPr>
      <w:rFonts w:ascii="Arial" w:hAnsi="Arial" w:cs="Arial"/>
      <w:i/>
      <w:lang w:eastAsia="ar-SA"/>
    </w:rPr>
  </w:style>
  <w:style w:type="character" w:styleId="Refdenotaalpie">
    <w:name w:val="footnote reference"/>
    <w:basedOn w:val="Fuentedeprrafopredeter"/>
    <w:uiPriority w:val="99"/>
    <w:semiHidden/>
    <w:unhideWhenUsed/>
    <w:rsid w:val="00B24F0E"/>
    <w:rPr>
      <w:vertAlign w:val="superscript"/>
    </w:rPr>
  </w:style>
  <w:style w:type="paragraph" w:styleId="Textonotaalfinal">
    <w:name w:val="endnote text"/>
    <w:basedOn w:val="Normal"/>
    <w:link w:val="TextonotaalfinalCar"/>
    <w:uiPriority w:val="99"/>
    <w:semiHidden/>
    <w:unhideWhenUsed/>
    <w:rsid w:val="00B24F0E"/>
    <w:rPr>
      <w:sz w:val="20"/>
      <w:szCs w:val="20"/>
    </w:rPr>
  </w:style>
  <w:style w:type="character" w:customStyle="1" w:styleId="TextonotaalfinalCar">
    <w:name w:val="Texto nota al final Car"/>
    <w:basedOn w:val="Fuentedeprrafopredeter"/>
    <w:link w:val="Textonotaalfinal"/>
    <w:uiPriority w:val="99"/>
    <w:semiHidden/>
    <w:rsid w:val="00B24F0E"/>
    <w:rPr>
      <w:rFonts w:ascii="Arial" w:hAnsi="Arial" w:cs="Arial"/>
      <w:i/>
      <w:lang w:eastAsia="ar-SA"/>
    </w:rPr>
  </w:style>
  <w:style w:type="character" w:styleId="Refdenotaalfinal">
    <w:name w:val="endnote reference"/>
    <w:basedOn w:val="Fuentedeprrafopredeter"/>
    <w:uiPriority w:val="99"/>
    <w:semiHidden/>
    <w:unhideWhenUsed/>
    <w:rsid w:val="00B24F0E"/>
    <w:rPr>
      <w:vertAlign w:val="superscript"/>
    </w:rPr>
  </w:style>
  <w:style w:type="paragraph" w:customStyle="1" w:styleId="CM174">
    <w:name w:val="CM174"/>
    <w:basedOn w:val="Default"/>
    <w:next w:val="Default"/>
    <w:uiPriority w:val="99"/>
    <w:rsid w:val="00BE520E"/>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92383">
      <w:bodyDiv w:val="1"/>
      <w:marLeft w:val="0"/>
      <w:marRight w:val="0"/>
      <w:marTop w:val="0"/>
      <w:marBottom w:val="0"/>
      <w:divBdr>
        <w:top w:val="none" w:sz="0" w:space="0" w:color="auto"/>
        <w:left w:val="none" w:sz="0" w:space="0" w:color="auto"/>
        <w:bottom w:val="none" w:sz="0" w:space="0" w:color="auto"/>
        <w:right w:val="none" w:sz="0" w:space="0" w:color="auto"/>
      </w:divBdr>
    </w:div>
    <w:div w:id="1574468319">
      <w:marLeft w:val="0"/>
      <w:marRight w:val="0"/>
      <w:marTop w:val="0"/>
      <w:marBottom w:val="0"/>
      <w:divBdr>
        <w:top w:val="none" w:sz="0" w:space="0" w:color="auto"/>
        <w:left w:val="none" w:sz="0" w:space="0" w:color="auto"/>
        <w:bottom w:val="none" w:sz="0" w:space="0" w:color="auto"/>
        <w:right w:val="none" w:sz="0" w:space="0" w:color="auto"/>
      </w:divBdr>
    </w:div>
    <w:div w:id="15744683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9AB61-58E8-4FE8-A3AB-21355F56A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783</Words>
  <Characters>4307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TH</vt:lpstr>
    </vt:vector>
  </TitlesOfParts>
  <Company>Supersolidaria</Company>
  <LinksUpToDate>false</LinksUpToDate>
  <CharactersWithSpaces>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dc:title>
  <dc:creator>SES</dc:creator>
  <cp:lastModifiedBy>mbernal</cp:lastModifiedBy>
  <cp:revision>4</cp:revision>
  <cp:lastPrinted>2016-02-03T01:15:00Z</cp:lastPrinted>
  <dcterms:created xsi:type="dcterms:W3CDTF">2016-02-12T20:12:00Z</dcterms:created>
  <dcterms:modified xsi:type="dcterms:W3CDTF">2016-02-12T20:19:00Z</dcterms:modified>
</cp:coreProperties>
</file>